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4B" w:rsidRDefault="003B494B" w:rsidP="003B49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42914" w:rsidRDefault="003B494B" w:rsidP="003B494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B494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B494B">
        <w:rPr>
          <w:rFonts w:ascii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B49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494B">
        <w:rPr>
          <w:rFonts w:ascii="Times New Roman" w:hAnsi="Times New Roman" w:cs="Times New Roman"/>
          <w:sz w:val="28"/>
          <w:szCs w:val="28"/>
          <w:lang w:eastAsia="ru-RU"/>
        </w:rPr>
        <w:t>спроможної</w:t>
      </w:r>
      <w:proofErr w:type="spellEnd"/>
      <w:r w:rsidRPr="003B49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494B">
        <w:rPr>
          <w:rFonts w:ascii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3B49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494B">
        <w:rPr>
          <w:rFonts w:ascii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3B49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494B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3B49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494B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3B49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494B">
        <w:rPr>
          <w:rFonts w:ascii="Times New Roman" w:hAnsi="Times New Roman" w:cs="Times New Roman"/>
          <w:sz w:val="28"/>
          <w:szCs w:val="28"/>
          <w:lang w:eastAsia="ru-RU"/>
        </w:rPr>
        <w:t>громади</w:t>
      </w:r>
      <w:proofErr w:type="spellEnd"/>
    </w:p>
    <w:p w:rsidR="00896B2E" w:rsidRDefault="007A30D2" w:rsidP="00926671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 w:rsidRPr="00896B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Принципи</w:t>
      </w:r>
      <w:r w:rsidR="003B494B" w:rsidRPr="00896B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формування спроможної мережі спеціалізованих медичних закладів</w:t>
      </w:r>
      <w:r w:rsidR="003B494B" w:rsidRPr="00896B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визначення їхнього статусу та ролі</w:t>
      </w:r>
      <w:r w:rsidR="00F609CF" w:rsidRPr="00896B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закладені в законодавчих актах України, зокрема Закон України «</w:t>
      </w:r>
      <w:r w:rsidR="00F609CF" w:rsidRPr="00896B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Основи законодавства України про охорону здоров'я</w:t>
      </w:r>
      <w:r w:rsidR="00F609CF" w:rsidRPr="00896B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» </w:t>
      </w:r>
      <w:r w:rsidR="00F609CF" w:rsidRPr="00896B2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>від 19.11.1992 р. №</w:t>
      </w:r>
      <w:r w:rsidR="00F609CF" w:rsidRPr="00896B2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="00F609CF" w:rsidRPr="00896B2E">
        <w:rPr>
          <w:rStyle w:val="a4"/>
          <w:rFonts w:ascii="Times New Roman" w:hAnsi="Times New Roman" w:cs="Times New Roman"/>
          <w:bCs/>
          <w:i w:val="0"/>
          <w:iCs w:val="0"/>
          <w:color w:val="5F6368"/>
          <w:sz w:val="28"/>
          <w:szCs w:val="28"/>
          <w:shd w:val="clear" w:color="auto" w:fill="FFFFFF"/>
          <w:lang w:val="uk-UA"/>
        </w:rPr>
        <w:t>2801</w:t>
      </w:r>
      <w:r w:rsidR="00F609CF" w:rsidRPr="00896B2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>-</w:t>
      </w:r>
      <w:r w:rsidR="00F609CF" w:rsidRPr="00896B2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XII</w:t>
      </w:r>
      <w:r w:rsidR="00F609CF" w:rsidRPr="00896B2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 xml:space="preserve"> (зі змінами)</w:t>
      </w:r>
      <w:r w:rsidR="00F609CF" w:rsidRPr="00896B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Закон України </w:t>
      </w:r>
      <w:r w:rsidRPr="00896B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«</w:t>
      </w:r>
      <w:r w:rsidR="00F609CF" w:rsidRPr="00896B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внесення змін до деяких законодавчих актів України щодо удосконалення надання медичної допомоги» від 01.07.2022 р. № </w:t>
      </w:r>
      <w:r w:rsidR="00F609CF" w:rsidRPr="00896B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2347-</w:t>
      </w:r>
      <w:r w:rsidR="00F609CF" w:rsidRPr="00896B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IX</w:t>
      </w:r>
      <w:r w:rsidR="00143B58" w:rsidRPr="00896B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, та</w:t>
      </w:r>
      <w:r w:rsidRPr="00896B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є наступним етапом медичної реформи в Україні. </w:t>
      </w:r>
    </w:p>
    <w:p w:rsidR="00C672BA" w:rsidRDefault="002B0B0D" w:rsidP="00926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Роз</w:t>
      </w:r>
      <w:r w:rsidRPr="002B0B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’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яснення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щодо </w:t>
      </w:r>
      <w:r w:rsidR="00896B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розподіл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у</w:t>
      </w:r>
      <w:r w:rsidR="00896B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території України на госпітальні округи та госпітальні кластери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опубліковане</w:t>
      </w:r>
      <w:r w:rsidR="00896B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на офіційному сайті Міністерства охорони здоров</w:t>
      </w:r>
      <w:r w:rsidR="00896B2E" w:rsidRPr="00C672B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’</w:t>
      </w:r>
      <w:r w:rsidR="00896B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я України за посиланням</w:t>
      </w:r>
      <w:r w:rsidR="00626C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:</w:t>
      </w:r>
      <w:r w:rsidR="00896B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</w:t>
      </w:r>
      <w:hyperlink r:id="rId6" w:history="1">
        <w:r w:rsidR="00C672BA" w:rsidRPr="00375883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https://moz.gov.ua/article/interview/viktor-ljashko-pro-spromozhnu-merezhu-zoz-mi-jak-derzhava-budemo-zakachuvati-rukava-j-dopomagati</w:t>
        </w:r>
      </w:hyperlink>
      <w:r w:rsidR="00C672BA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bookmarkStart w:id="0" w:name="_GoBack"/>
      <w:bookmarkEnd w:id="0"/>
    </w:p>
    <w:p w:rsidR="008C178A" w:rsidRDefault="00C672BA" w:rsidP="0092667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672B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940EAB">
        <w:rPr>
          <w:rFonts w:ascii="Times New Roman" w:hAnsi="Times New Roman" w:cs="Times New Roman"/>
          <w:sz w:val="28"/>
          <w:szCs w:val="28"/>
          <w:lang w:val="uk-UA"/>
        </w:rPr>
        <w:t>Постановою</w:t>
      </w:r>
      <w:r w:rsidR="008C178A" w:rsidRPr="00940E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BF7" w:rsidRPr="00940EAB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від 28.02.2023 р. № </w:t>
      </w:r>
      <w:r w:rsidR="008C178A" w:rsidRPr="00940EAB">
        <w:rPr>
          <w:rFonts w:ascii="Times New Roman" w:hAnsi="Times New Roman" w:cs="Times New Roman"/>
          <w:sz w:val="28"/>
          <w:szCs w:val="28"/>
          <w:lang w:val="uk-UA"/>
        </w:rPr>
        <w:t>174</w:t>
      </w:r>
      <w:r w:rsidR="000F6BF7" w:rsidRPr="00940EA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F6BF7" w:rsidRPr="00940E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Деякі питання організації спроможної мережі закладів охорони здоров’я</w:t>
      </w:r>
      <w:r w:rsidR="000F6BF7" w:rsidRPr="00940EAB">
        <w:rPr>
          <w:rFonts w:ascii="ProbaPro" w:hAnsi="ProbaPro"/>
          <w:b/>
          <w:bCs/>
          <w:color w:val="333333"/>
          <w:sz w:val="27"/>
          <w:szCs w:val="27"/>
          <w:shd w:val="clear" w:color="auto" w:fill="FFFFFF"/>
          <w:lang w:val="uk-UA"/>
        </w:rPr>
        <w:t>»</w:t>
      </w:r>
      <w:r w:rsidR="000F6BF7">
        <w:rPr>
          <w:rFonts w:ascii="ProbaPro" w:hAnsi="ProbaPro"/>
          <w:b/>
          <w:bCs/>
          <w:color w:val="333333"/>
          <w:sz w:val="27"/>
          <w:szCs w:val="27"/>
          <w:shd w:val="clear" w:color="auto" w:fill="FFFFFF"/>
          <w:lang w:val="uk-UA"/>
        </w:rPr>
        <w:t xml:space="preserve">  </w:t>
      </w:r>
      <w:r w:rsidR="000F6BF7" w:rsidRPr="000F6BF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затверджено</w:t>
      </w:r>
      <w:r w:rsidR="000F6BF7">
        <w:rPr>
          <w:rFonts w:ascii="ProbaPro" w:hAnsi="ProbaPro"/>
          <w:b/>
          <w:bCs/>
          <w:color w:val="333333"/>
          <w:sz w:val="27"/>
          <w:szCs w:val="27"/>
          <w:shd w:val="clear" w:color="auto" w:fill="FFFFFF"/>
          <w:lang w:val="uk-UA"/>
        </w:rPr>
        <w:t xml:space="preserve"> </w:t>
      </w:r>
      <w:r w:rsidR="002C6A65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Порядок</w:t>
      </w:r>
      <w:r w:rsidR="000F6BF7" w:rsidRPr="000F6BF7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функціонування госпітальних округів і госпітальних кластерів та встановлення їх меж</w:t>
      </w:r>
      <w:r w:rsidR="000F6BF7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</w:t>
      </w:r>
      <w:r w:rsidR="000F6BF7" w:rsidRPr="000F6BF7">
        <w:rPr>
          <w:rFonts w:ascii="Times New Roman" w:hAnsi="Times New Roman"/>
          <w:sz w:val="28"/>
          <w:szCs w:val="28"/>
          <w:lang w:val="uk-UA"/>
        </w:rPr>
        <w:t xml:space="preserve">та механізм визначення </w:t>
      </w:r>
      <w:proofErr w:type="spellStart"/>
      <w:r w:rsidR="000F6BF7" w:rsidRPr="000F6BF7">
        <w:rPr>
          <w:rFonts w:ascii="Times New Roman" w:hAnsi="Times New Roman"/>
          <w:sz w:val="28"/>
          <w:szCs w:val="28"/>
          <w:lang w:val="uk-UA"/>
        </w:rPr>
        <w:t>надкластерних</w:t>
      </w:r>
      <w:proofErr w:type="spellEnd"/>
      <w:r w:rsidR="000F6BF7" w:rsidRPr="000F6BF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F6BF7" w:rsidRPr="000F6BF7">
        <w:rPr>
          <w:rFonts w:ascii="Times New Roman" w:hAnsi="Times New Roman"/>
          <w:sz w:val="28"/>
          <w:szCs w:val="28"/>
          <w:lang w:val="uk-UA"/>
        </w:rPr>
        <w:t>кластерних</w:t>
      </w:r>
      <w:proofErr w:type="spellEnd"/>
      <w:r w:rsidR="000F6BF7" w:rsidRPr="000F6BF7">
        <w:rPr>
          <w:rFonts w:ascii="Times New Roman" w:hAnsi="Times New Roman"/>
          <w:sz w:val="28"/>
          <w:szCs w:val="28"/>
          <w:lang w:val="uk-UA"/>
        </w:rPr>
        <w:t>, загальних та інших видів закладів охорони здоров’я, що входять до спроможної мережі закладів охорони здоров’я відповідного госпітального округу</w:t>
      </w:r>
      <w:r w:rsidR="000F6BF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672BA" w:rsidRDefault="001D1625" w:rsidP="00896B2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Основними факторами</w:t>
      </w:r>
      <w:r w:rsidR="00815FC8">
        <w:rPr>
          <w:rFonts w:ascii="Times New Roman" w:hAnsi="Times New Roman"/>
          <w:sz w:val="28"/>
          <w:szCs w:val="28"/>
          <w:lang w:val="uk-UA"/>
        </w:rPr>
        <w:t>, що впливають на визначення найбільш відповідного закладу охорони здоров</w:t>
      </w:r>
      <w:r w:rsidR="00815FC8" w:rsidRPr="00815FC8">
        <w:rPr>
          <w:rFonts w:ascii="Times New Roman" w:hAnsi="Times New Roman"/>
          <w:sz w:val="28"/>
          <w:szCs w:val="28"/>
        </w:rPr>
        <w:t>’</w:t>
      </w:r>
      <w:r w:rsidR="00815FC8">
        <w:rPr>
          <w:rFonts w:ascii="Times New Roman" w:hAnsi="Times New Roman"/>
          <w:sz w:val="28"/>
          <w:szCs w:val="28"/>
          <w:lang w:val="uk-UA"/>
        </w:rPr>
        <w:t xml:space="preserve">я для обслуговування громадян територіальної громади є: чисельність населення громади, потужність закладу на відповідність заявленого статусу (загальний/кластерний) відповідно до мінімального (базового) переліку напрямів медичного обслуговування згідно з додатком до </w:t>
      </w:r>
      <w:r w:rsidR="002C6A65" w:rsidRPr="00940EAB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Порядку</w:t>
      </w:r>
      <w:r w:rsidR="00815FC8" w:rsidRPr="00940EAB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функціонування госпітальних округів і госпітальних кластерів та встановлення їх меж</w:t>
      </w:r>
      <w:r w:rsidR="00815FC8">
        <w:rPr>
          <w:rFonts w:ascii="Times New Roman" w:hAnsi="Times New Roman"/>
          <w:sz w:val="28"/>
          <w:szCs w:val="28"/>
          <w:lang w:val="uk-UA"/>
        </w:rPr>
        <w:t xml:space="preserve">, транспортна доступність, фінансова стійкість. </w:t>
      </w:r>
      <w:r w:rsidR="00C672B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A10" w:rsidRDefault="008E7D07" w:rsidP="008E7D0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7A10">
        <w:rPr>
          <w:rFonts w:ascii="Times New Roman" w:hAnsi="Times New Roman"/>
          <w:sz w:val="28"/>
          <w:szCs w:val="28"/>
          <w:lang w:val="uk-UA"/>
        </w:rPr>
        <w:t>В Хмільницькій міській територіальній громаді сфера охорони здоров</w:t>
      </w:r>
      <w:r w:rsidR="00277A10" w:rsidRPr="00277A10">
        <w:rPr>
          <w:rFonts w:ascii="Times New Roman" w:hAnsi="Times New Roman"/>
          <w:sz w:val="28"/>
          <w:szCs w:val="28"/>
        </w:rPr>
        <w:t>’</w:t>
      </w:r>
      <w:r w:rsidR="00277A10">
        <w:rPr>
          <w:rFonts w:ascii="Times New Roman" w:hAnsi="Times New Roman"/>
          <w:sz w:val="28"/>
          <w:szCs w:val="28"/>
          <w:lang w:val="uk-UA"/>
        </w:rPr>
        <w:t>я представлена закладами охорони здоров</w:t>
      </w:r>
      <w:r w:rsidR="00277A10" w:rsidRPr="00277A10">
        <w:rPr>
          <w:rFonts w:ascii="Times New Roman" w:hAnsi="Times New Roman"/>
          <w:sz w:val="28"/>
          <w:szCs w:val="28"/>
        </w:rPr>
        <w:t>’</w:t>
      </w:r>
      <w:r w:rsidR="00926671">
        <w:rPr>
          <w:rFonts w:ascii="Times New Roman" w:hAnsi="Times New Roman"/>
          <w:sz w:val="28"/>
          <w:szCs w:val="28"/>
          <w:lang w:val="uk-UA"/>
        </w:rPr>
        <w:t>я різних форм власності,</w:t>
      </w:r>
      <w:r w:rsidR="00277A10">
        <w:rPr>
          <w:rFonts w:ascii="Times New Roman" w:hAnsi="Times New Roman"/>
          <w:sz w:val="28"/>
          <w:szCs w:val="28"/>
          <w:lang w:val="uk-UA"/>
        </w:rPr>
        <w:t xml:space="preserve"> зокрема:</w:t>
      </w:r>
    </w:p>
    <w:p w:rsidR="002B0B0D" w:rsidRPr="002B0B0D" w:rsidRDefault="002B0B0D" w:rsidP="008E7D07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 w:rsidRPr="002B0B0D">
        <w:rPr>
          <w:rFonts w:ascii="Times New Roman" w:hAnsi="Times New Roman" w:cs="Times New Roman"/>
          <w:sz w:val="28"/>
          <w:szCs w:val="28"/>
          <w:lang w:val="uk-UA"/>
        </w:rPr>
        <w:t>Комунальне некомерційне підприємство «Хмільницький центр первинної медико-санітарної допомоги» Хмільницької міської ради (первинна медична допомога)</w:t>
      </w:r>
      <w:r w:rsidR="000D7543">
        <w:rPr>
          <w:rFonts w:ascii="Times New Roman" w:hAnsi="Times New Roman" w:cs="Times New Roman"/>
          <w:sz w:val="28"/>
          <w:szCs w:val="28"/>
          <w:lang w:val="uk-UA"/>
        </w:rPr>
        <w:t xml:space="preserve">, в структуру якого входять 1 міська амбулаторія, </w:t>
      </w:r>
      <w:r w:rsidR="000D7543" w:rsidRPr="00417F7D">
        <w:rPr>
          <w:rFonts w:ascii="Times New Roman" w:eastAsia="Calibri" w:hAnsi="Times New Roman" w:cs="Times New Roman"/>
          <w:sz w:val="28"/>
          <w:szCs w:val="28"/>
          <w:lang w:val="uk-UA"/>
        </w:rPr>
        <w:t>6 с</w:t>
      </w:r>
      <w:r w:rsidR="000D7543" w:rsidRPr="001C04C6">
        <w:rPr>
          <w:rFonts w:ascii="Times New Roman" w:eastAsia="Calibri" w:hAnsi="Times New Roman" w:cs="Times New Roman"/>
          <w:sz w:val="28"/>
          <w:szCs w:val="28"/>
          <w:lang w:val="uk-UA"/>
        </w:rPr>
        <w:t>ільських амбулаторі</w:t>
      </w:r>
      <w:r w:rsidR="000D7543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="000D7543" w:rsidRPr="001C04C6">
        <w:rPr>
          <w:rFonts w:ascii="Times New Roman" w:eastAsia="Calibri" w:hAnsi="Times New Roman" w:cs="Times New Roman"/>
          <w:sz w:val="28"/>
          <w:szCs w:val="28"/>
          <w:lang w:val="uk-UA"/>
        </w:rPr>
        <w:t>, 23 пункти</w:t>
      </w:r>
      <w:r w:rsidR="000D7543" w:rsidRPr="00417F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B0B0D" w:rsidRPr="00D94DA0" w:rsidRDefault="002B0B0D" w:rsidP="008E7D07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Комунальне некомерційне підприємство</w:t>
      </w:r>
      <w:r w:rsidRPr="00DD5016">
        <w:rPr>
          <w:rFonts w:ascii="Times New Roman" w:hAnsi="Times New Roman" w:cs="Times New Roman"/>
          <w:sz w:val="28"/>
          <w:szCs w:val="28"/>
          <w:lang w:val="uk-UA"/>
        </w:rPr>
        <w:t xml:space="preserve"> «Хмільницька центральна лікарня» Хмільницької міської ради (вторинна </w:t>
      </w:r>
      <w:r w:rsidR="006004BD">
        <w:rPr>
          <w:rFonts w:ascii="Times New Roman" w:hAnsi="Times New Roman" w:cs="Times New Roman"/>
          <w:sz w:val="28"/>
          <w:szCs w:val="28"/>
          <w:lang w:val="uk-UA"/>
        </w:rPr>
        <w:t>спеціалізован</w:t>
      </w:r>
      <w:r w:rsidR="00D94DA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DD5016">
        <w:rPr>
          <w:rFonts w:ascii="Times New Roman" w:hAnsi="Times New Roman" w:cs="Times New Roman"/>
          <w:sz w:val="28"/>
          <w:szCs w:val="28"/>
          <w:lang w:val="uk-UA"/>
        </w:rPr>
        <w:t>медична допомога)</w:t>
      </w:r>
      <w:r w:rsidR="00D94DA0">
        <w:rPr>
          <w:rFonts w:ascii="Times New Roman" w:hAnsi="Times New Roman" w:cs="Times New Roman"/>
          <w:sz w:val="28"/>
          <w:szCs w:val="28"/>
          <w:lang w:val="uk-UA"/>
        </w:rPr>
        <w:t xml:space="preserve"> до якого входить стоматологічне відділення, що надає всі види стоматологічних послуг</w:t>
      </w:r>
      <w:r w:rsidR="008E7D0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4DA0" w:rsidRPr="008E7D07" w:rsidRDefault="00D94DA0" w:rsidP="008E7D07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 w:rsidRPr="008E7D0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КНП «Хмільницька обласна лікарня відновного лікування Вінницької обласної ради»;</w:t>
      </w:r>
    </w:p>
    <w:p w:rsidR="008E7D07" w:rsidRPr="008E7D07" w:rsidRDefault="008E7D07" w:rsidP="008E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E7D0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Санаторій «Радон» АП НВП «Візит»;</w:t>
      </w:r>
    </w:p>
    <w:p w:rsidR="008E7D07" w:rsidRPr="008E7D07" w:rsidRDefault="008E7D07" w:rsidP="008E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E7D0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 «Санаторій «Поділля»;</w:t>
      </w:r>
    </w:p>
    <w:p w:rsidR="008E7D07" w:rsidRPr="008E7D07" w:rsidRDefault="008E7D07" w:rsidP="008E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E7D0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ДП «Клінічний санаторій «Хмільник» ЗАТ ЛОЗП України «Укрпрофоздоровниця»;</w:t>
      </w:r>
    </w:p>
    <w:p w:rsidR="008E7D07" w:rsidRPr="008E7D07" w:rsidRDefault="008E7D07" w:rsidP="008E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E7D0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МРЦ «Південний Буг» МВС України;</w:t>
      </w:r>
    </w:p>
    <w:p w:rsidR="008E7D07" w:rsidRPr="008E7D07" w:rsidRDefault="008E7D07" w:rsidP="008E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E7D0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ВСП «Медичний центр реабілітації залізничників»;</w:t>
      </w:r>
    </w:p>
    <w:p w:rsidR="008E7D07" w:rsidRPr="008E7D07" w:rsidRDefault="008E7D07" w:rsidP="008E7D07">
      <w:pPr>
        <w:pStyle w:val="a8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 w:rsidRPr="008E7D0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 «Санаторій «Березовий гай».</w:t>
      </w:r>
    </w:p>
    <w:p w:rsidR="008E7D07" w:rsidRPr="008E7D07" w:rsidRDefault="008E7D07" w:rsidP="008E7D07">
      <w:pPr>
        <w:pStyle w:val="a8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Фізичні особі підприємці, що проводять лікарську практику на підставі відповідної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ліцензіі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96B2E" w:rsidRDefault="002434E2" w:rsidP="008E7D07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Враховуючи те, що м. Хмільник є адміністративним </w:t>
      </w:r>
      <w:r w:rsidR="008E7D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центром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Хмільницького району, вигідне територіальне розташування якого впливає на транспортну доступність від найвіддаленіших точок району до </w:t>
      </w:r>
      <w:r w:rsidR="008E7D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міста Хмільник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. Постійне покращення матеріально – технічної бази </w:t>
      </w:r>
      <w:r w:rsidR="002A2D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закладів охорони здоров</w:t>
      </w:r>
      <w:r w:rsidR="002A2D4C" w:rsidRPr="002434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’</w:t>
      </w:r>
      <w:r w:rsidR="002A2D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я громади комунальної власності (придбання сучасного обладнання),  фінансова підтримка розвитку та покращення медичних послуг жителів Хмільницької міської територіальної громади за р</w:t>
      </w:r>
      <w:r w:rsidR="009266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ахунок місцевого бюджету, вдосконалення організації</w:t>
      </w:r>
      <w:r w:rsidR="002A2D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діяльності впливають на підвищення потужності </w:t>
      </w:r>
      <w:r w:rsidR="008E7D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закладів охорони здоров</w:t>
      </w:r>
      <w:r w:rsidR="008E7D07" w:rsidRPr="002434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’</w:t>
      </w:r>
      <w:r w:rsidR="008E7D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я громади комунальної власності, які разом з закладами охорони здоров</w:t>
      </w:r>
      <w:r w:rsidR="008E7D07" w:rsidRPr="002434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’</w:t>
      </w:r>
      <w:r w:rsidR="008E7D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я інших форм власності можуть створити потужну спроможну мережу госпітального кластеру.</w:t>
      </w:r>
    </w:p>
    <w:p w:rsidR="00D40F57" w:rsidRDefault="00EE459D" w:rsidP="00EE45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Первинна допомога  жителям </w:t>
      </w:r>
      <w:r>
        <w:rPr>
          <w:rFonts w:ascii="Times New Roman" w:hAnsi="Times New Roman"/>
          <w:sz w:val="28"/>
          <w:szCs w:val="28"/>
          <w:lang w:val="uk-UA"/>
        </w:rPr>
        <w:t xml:space="preserve">Хмільницької міської територіальної громади представлена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Комунальним некомерційним</w:t>
      </w:r>
      <w:r w:rsidRPr="002B0B0D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B0B0D">
        <w:rPr>
          <w:rFonts w:ascii="Times New Roman" w:hAnsi="Times New Roman" w:cs="Times New Roman"/>
          <w:sz w:val="28"/>
          <w:szCs w:val="28"/>
          <w:lang w:val="uk-UA"/>
        </w:rPr>
        <w:t xml:space="preserve"> «Хмільницький центр первинної медико-санітарної допомоги» Хмільницької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високому рівні за результатами діяльності закладу, кількість прикріпленого населення становить 44616 чол., з ВПО включно.  Заклад заключив з НСЗУ </w:t>
      </w:r>
      <w:r w:rsidR="00D40F57">
        <w:rPr>
          <w:rFonts w:ascii="Times New Roman" w:hAnsi="Times New Roman" w:cs="Times New Roman"/>
          <w:sz w:val="28"/>
          <w:szCs w:val="28"/>
          <w:lang w:val="uk-UA"/>
        </w:rPr>
        <w:t>договір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D40F57">
        <w:rPr>
          <w:rFonts w:ascii="Times New Roman" w:hAnsi="Times New Roman" w:cs="Times New Roman"/>
          <w:sz w:val="28"/>
          <w:szCs w:val="28"/>
          <w:lang w:val="uk-UA"/>
        </w:rPr>
        <w:t xml:space="preserve">медичне обслуговування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 програмою медичних гарантій</w:t>
      </w:r>
      <w:r w:rsidR="00D40F57">
        <w:rPr>
          <w:rFonts w:ascii="Times New Roman" w:hAnsi="Times New Roman" w:cs="Times New Roman"/>
          <w:sz w:val="28"/>
          <w:szCs w:val="28"/>
          <w:lang w:val="uk-UA"/>
        </w:rPr>
        <w:t xml:space="preserve"> на надання медичних послуг за напрямками: </w:t>
      </w:r>
    </w:p>
    <w:p w:rsidR="00D40F57" w:rsidRPr="00D40F57" w:rsidRDefault="00D40F57" w:rsidP="00D40F5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Первинна медична допомога;</w:t>
      </w:r>
    </w:p>
    <w:p w:rsidR="00D40F57" w:rsidRPr="00D40F57" w:rsidRDefault="00D40F57" w:rsidP="00D40F5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Супровід і</w:t>
      </w:r>
      <w:r w:rsidRPr="00D40F57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дорослих та дітей з психічними розладами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первинному рівні;</w:t>
      </w:r>
    </w:p>
    <w:p w:rsidR="00D40F57" w:rsidRPr="00D40F57" w:rsidRDefault="00D40F57" w:rsidP="00AC2B6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 w:rsidRPr="00D40F57">
        <w:rPr>
          <w:rFonts w:ascii="Times New Roman" w:hAnsi="Times New Roman" w:cs="Times New Roman"/>
          <w:sz w:val="28"/>
          <w:szCs w:val="28"/>
          <w:lang w:val="uk-UA"/>
        </w:rPr>
        <w:t>Супровід і лікування дорослих та дітей, хворих на туберкульоз на первинному рівні медичної допомоги</w:t>
      </w:r>
    </w:p>
    <w:p w:rsidR="00EE459D" w:rsidRPr="00D40F57" w:rsidRDefault="00940EAB" w:rsidP="00D40F5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E459D" w:rsidRPr="00D40F57">
        <w:rPr>
          <w:rFonts w:ascii="Times New Roman" w:hAnsi="Times New Roman" w:cs="Times New Roman"/>
          <w:sz w:val="28"/>
          <w:szCs w:val="28"/>
          <w:lang w:val="uk-UA"/>
        </w:rPr>
        <w:t>обі</w:t>
      </w:r>
      <w:r w:rsidR="00D40F57">
        <w:rPr>
          <w:rFonts w:ascii="Times New Roman" w:hAnsi="Times New Roman" w:cs="Times New Roman"/>
          <w:sz w:val="28"/>
          <w:szCs w:val="28"/>
          <w:lang w:val="uk-UA"/>
        </w:rPr>
        <w:t xml:space="preserve">льна </w:t>
      </w:r>
      <w:r w:rsidR="00EE459D" w:rsidRPr="00D40F57">
        <w:rPr>
          <w:rFonts w:ascii="Times New Roman" w:hAnsi="Times New Roman" w:cs="Times New Roman"/>
          <w:sz w:val="28"/>
          <w:szCs w:val="28"/>
          <w:lang w:val="uk-UA"/>
        </w:rPr>
        <w:t>паліативна медична допомога дорослим і дітям.</w:t>
      </w:r>
    </w:p>
    <w:p w:rsidR="00D94DA0" w:rsidRDefault="00D94DA0" w:rsidP="008E7D07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За результатами діяльності 2022 року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Комунальне некомерційне підприємство</w:t>
      </w:r>
      <w:r w:rsidRPr="00DD5016">
        <w:rPr>
          <w:rFonts w:ascii="Times New Roman" w:hAnsi="Times New Roman" w:cs="Times New Roman"/>
          <w:sz w:val="28"/>
          <w:szCs w:val="28"/>
          <w:lang w:val="uk-UA"/>
        </w:rPr>
        <w:t xml:space="preserve"> «Хмільницька центральна лікарня» Хмільницької міської ради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вийшло на 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рівень спроможних лікарень. </w:t>
      </w:r>
      <w:r w:rsidR="004213BF">
        <w:rPr>
          <w:rFonts w:ascii="Times New Roman" w:hAnsi="Times New Roman" w:cs="Times New Roman"/>
          <w:sz w:val="28"/>
          <w:szCs w:val="28"/>
          <w:lang w:val="uk-UA"/>
        </w:rPr>
        <w:t>Комунальне некомерційне підприємство</w:t>
      </w:r>
      <w:r w:rsidR="004213BF" w:rsidRPr="00DD5016">
        <w:rPr>
          <w:rFonts w:ascii="Times New Roman" w:hAnsi="Times New Roman" w:cs="Times New Roman"/>
          <w:sz w:val="28"/>
          <w:szCs w:val="28"/>
          <w:lang w:val="uk-UA"/>
        </w:rPr>
        <w:t xml:space="preserve"> «Хмільницька центральна лікарня» Хмільницької міської ради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заключило </w:t>
      </w:r>
      <w:proofErr w:type="spellStart"/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договора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з НСЗУ на 2023 рік на 18 пакетів медичних послуг, зокрема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укладений 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договір на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пакет 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медичних послуг </w:t>
      </w:r>
      <w:r w:rsidR="004213BF" w:rsidRPr="00EE4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«Медична допомога </w:t>
      </w:r>
      <w:r w:rsidR="004213BF" w:rsidRPr="00EE4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при</w:t>
      </w:r>
      <w:r w:rsidR="004213BF" w:rsidRPr="00421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213BF" w:rsidRPr="00EE4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гострому мозковому інсульті»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що має важливе значення для надання мед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ичної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допомоги  жите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лям громади.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</w:t>
      </w:r>
      <w:r w:rsidR="00EE459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Також 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</w:t>
      </w:r>
      <w:r w:rsidR="00CA5C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направляються на 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авчання 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та підвищення  кваліфікації </w:t>
      </w:r>
      <w:r w:rsidR="00CA5C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лікарі</w:t>
      </w:r>
      <w:r w:rsidR="004213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для здобуття додаткових спеціалізацій,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 що також впливає </w:t>
      </w:r>
      <w:r w:rsidR="00CA5C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на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 xml:space="preserve">якість </w:t>
      </w:r>
      <w:r w:rsidR="00CA5C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>надання медичної допомоги населенню.</w:t>
      </w:r>
    </w:p>
    <w:p w:rsidR="00D94DA0" w:rsidRPr="00CA5C5D" w:rsidRDefault="00CA5C5D" w:rsidP="000D7543">
      <w:pPr>
        <w:pStyle w:val="TableParagraph"/>
        <w:ind w:firstLine="567"/>
        <w:jc w:val="both"/>
        <w:rPr>
          <w:sz w:val="28"/>
          <w:szCs w:val="28"/>
        </w:rPr>
      </w:pPr>
      <w:r w:rsidRPr="00CA5C5D">
        <w:rPr>
          <w:rStyle w:val="a4"/>
          <w:i w:val="0"/>
          <w:iCs w:val="0"/>
          <w:sz w:val="28"/>
          <w:szCs w:val="28"/>
        </w:rPr>
        <w:t>З</w:t>
      </w:r>
      <w:r>
        <w:rPr>
          <w:rStyle w:val="a4"/>
          <w:i w:val="0"/>
          <w:iCs w:val="0"/>
          <w:sz w:val="28"/>
          <w:szCs w:val="28"/>
        </w:rPr>
        <w:t xml:space="preserve">бройна агресія </w:t>
      </w:r>
      <w:proofErr w:type="spellStart"/>
      <w:r>
        <w:rPr>
          <w:rStyle w:val="a4"/>
          <w:i w:val="0"/>
          <w:iCs w:val="0"/>
          <w:sz w:val="28"/>
          <w:szCs w:val="28"/>
        </w:rPr>
        <w:t>р</w:t>
      </w:r>
      <w:r w:rsidRPr="00CA5C5D">
        <w:rPr>
          <w:rStyle w:val="a4"/>
          <w:i w:val="0"/>
          <w:iCs w:val="0"/>
          <w:sz w:val="28"/>
          <w:szCs w:val="28"/>
        </w:rPr>
        <w:t>осії</w:t>
      </w:r>
      <w:proofErr w:type="spellEnd"/>
      <w:r w:rsidRPr="00CA5C5D">
        <w:rPr>
          <w:rStyle w:val="a4"/>
          <w:i w:val="0"/>
          <w:iCs w:val="0"/>
          <w:sz w:val="28"/>
          <w:szCs w:val="28"/>
        </w:rPr>
        <w:t xml:space="preserve"> проти України</w:t>
      </w:r>
      <w:r>
        <w:rPr>
          <w:rStyle w:val="a4"/>
          <w:i w:val="0"/>
          <w:iCs w:val="0"/>
          <w:sz w:val="28"/>
          <w:szCs w:val="28"/>
        </w:rPr>
        <w:t xml:space="preserve"> внесла свої корективи в діяльність закладів охорони здоров</w:t>
      </w:r>
      <w:r w:rsidRPr="00CA5C5D">
        <w:rPr>
          <w:rStyle w:val="a4"/>
          <w:i w:val="0"/>
          <w:iCs w:val="0"/>
          <w:sz w:val="28"/>
          <w:szCs w:val="28"/>
          <w:lang w:val="ru-RU"/>
        </w:rPr>
        <w:t>’</w:t>
      </w:r>
      <w:r>
        <w:rPr>
          <w:rStyle w:val="a4"/>
          <w:i w:val="0"/>
          <w:iCs w:val="0"/>
          <w:sz w:val="28"/>
          <w:szCs w:val="28"/>
        </w:rPr>
        <w:t xml:space="preserve">я Хмільницького району. Оскільки, місто  </w:t>
      </w:r>
      <w:r w:rsidRPr="00CA5C5D">
        <w:rPr>
          <w:bCs/>
          <w:color w:val="000000"/>
          <w:sz w:val="28"/>
          <w:szCs w:val="28"/>
          <w:shd w:val="clear" w:color="auto" w:fill="FFFFFF"/>
        </w:rPr>
        <w:t>Хмільник – місто-курорт державного значення, унікальна оздоровниця з неповторними властивостями лікувально-рекреаційної бази, що не має аналогів в світі, історичне місто</w:t>
      </w:r>
      <w:r w:rsidR="00A1028E">
        <w:rPr>
          <w:bCs/>
          <w:color w:val="000000"/>
          <w:sz w:val="28"/>
          <w:szCs w:val="28"/>
          <w:shd w:val="clear" w:color="auto" w:fill="FFFFFF"/>
        </w:rPr>
        <w:t xml:space="preserve">, відповідно має велику базу санаторно – курортних закладів, </w:t>
      </w:r>
      <w:r w:rsidR="000D7543">
        <w:rPr>
          <w:bCs/>
          <w:color w:val="000000"/>
          <w:sz w:val="28"/>
          <w:szCs w:val="28"/>
          <w:shd w:val="clear" w:color="auto" w:fill="FFFFFF"/>
        </w:rPr>
        <w:t>які</w:t>
      </w:r>
      <w:r w:rsidR="00A1028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0D7543">
        <w:rPr>
          <w:bCs/>
          <w:color w:val="000000"/>
          <w:sz w:val="28"/>
          <w:szCs w:val="28"/>
          <w:shd w:val="clear" w:color="auto" w:fill="FFFFFF"/>
        </w:rPr>
        <w:t>можуть</w:t>
      </w:r>
      <w:r w:rsidR="00A1028E">
        <w:rPr>
          <w:bCs/>
          <w:color w:val="000000"/>
          <w:sz w:val="28"/>
          <w:szCs w:val="28"/>
          <w:shd w:val="clear" w:color="auto" w:fill="FFFFFF"/>
        </w:rPr>
        <w:t xml:space="preserve"> надавати </w:t>
      </w:r>
      <w:r w:rsidR="00461C22">
        <w:rPr>
          <w:bCs/>
          <w:color w:val="000000"/>
          <w:sz w:val="28"/>
          <w:szCs w:val="28"/>
          <w:shd w:val="clear" w:color="auto" w:fill="FFFFFF"/>
        </w:rPr>
        <w:t xml:space="preserve">якісні </w:t>
      </w:r>
      <w:r w:rsidR="00A1028E">
        <w:rPr>
          <w:bCs/>
          <w:color w:val="000000"/>
          <w:sz w:val="28"/>
          <w:szCs w:val="28"/>
          <w:shd w:val="clear" w:color="auto" w:fill="FFFFFF"/>
        </w:rPr>
        <w:t xml:space="preserve">реабілітаційні послуги для різних категорій </w:t>
      </w:r>
      <w:r w:rsidR="005B1276">
        <w:rPr>
          <w:bCs/>
          <w:color w:val="000000"/>
          <w:sz w:val="28"/>
          <w:szCs w:val="28"/>
          <w:shd w:val="clear" w:color="auto" w:fill="FFFFFF"/>
        </w:rPr>
        <w:t xml:space="preserve">населення України </w:t>
      </w:r>
      <w:r w:rsidR="00A1028E">
        <w:rPr>
          <w:bCs/>
          <w:color w:val="000000"/>
          <w:sz w:val="28"/>
          <w:szCs w:val="28"/>
          <w:shd w:val="clear" w:color="auto" w:fill="FFFFFF"/>
        </w:rPr>
        <w:t>постраждалих від збройної агресії проти України</w:t>
      </w:r>
      <w:r w:rsidR="000D7543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896B2E" w:rsidRDefault="008E7D07" w:rsidP="003B494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  <w:tab/>
      </w:r>
    </w:p>
    <w:p w:rsidR="00896B2E" w:rsidRDefault="00896B2E" w:rsidP="003B494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</w:p>
    <w:p w:rsidR="00C13572" w:rsidRDefault="00C13572" w:rsidP="003B494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uk-UA"/>
        </w:rPr>
      </w:pPr>
    </w:p>
    <w:p w:rsidR="003B494B" w:rsidRPr="002434E2" w:rsidRDefault="003B494B" w:rsidP="003B494B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43B58" w:rsidRPr="002434E2" w:rsidRDefault="00143B58" w:rsidP="003B494B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143B58" w:rsidRPr="002434E2" w:rsidSect="002B6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19C2"/>
    <w:multiLevelType w:val="hybridMultilevel"/>
    <w:tmpl w:val="07849170"/>
    <w:lvl w:ilvl="0" w:tplc="126C10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F04A3"/>
    <w:multiLevelType w:val="multilevel"/>
    <w:tmpl w:val="02F4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0D0DE6"/>
    <w:multiLevelType w:val="hybridMultilevel"/>
    <w:tmpl w:val="D4C2BE32"/>
    <w:lvl w:ilvl="0" w:tplc="37AC1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494B"/>
    <w:rsid w:val="000345C7"/>
    <w:rsid w:val="000D7543"/>
    <w:rsid w:val="000F6BF7"/>
    <w:rsid w:val="00143B58"/>
    <w:rsid w:val="001C6D79"/>
    <w:rsid w:val="001D1625"/>
    <w:rsid w:val="00206B7F"/>
    <w:rsid w:val="002434E2"/>
    <w:rsid w:val="00277A10"/>
    <w:rsid w:val="002A2D4C"/>
    <w:rsid w:val="002B0B0D"/>
    <w:rsid w:val="002B65BE"/>
    <w:rsid w:val="002C6A65"/>
    <w:rsid w:val="003B494B"/>
    <w:rsid w:val="004213BF"/>
    <w:rsid w:val="00446ED2"/>
    <w:rsid w:val="00461C22"/>
    <w:rsid w:val="005B1276"/>
    <w:rsid w:val="006004BD"/>
    <w:rsid w:val="00626CC7"/>
    <w:rsid w:val="007A30D2"/>
    <w:rsid w:val="007C3183"/>
    <w:rsid w:val="00815FC8"/>
    <w:rsid w:val="00896B2E"/>
    <w:rsid w:val="008C178A"/>
    <w:rsid w:val="008E7D07"/>
    <w:rsid w:val="00926671"/>
    <w:rsid w:val="00940EAB"/>
    <w:rsid w:val="00994B25"/>
    <w:rsid w:val="00A1028E"/>
    <w:rsid w:val="00A42914"/>
    <w:rsid w:val="00A87943"/>
    <w:rsid w:val="00B529E5"/>
    <w:rsid w:val="00C13572"/>
    <w:rsid w:val="00C672BA"/>
    <w:rsid w:val="00C6787C"/>
    <w:rsid w:val="00CA0B40"/>
    <w:rsid w:val="00CA5C5D"/>
    <w:rsid w:val="00D40F57"/>
    <w:rsid w:val="00D94DA0"/>
    <w:rsid w:val="00E673E9"/>
    <w:rsid w:val="00EE459D"/>
    <w:rsid w:val="00F47ADF"/>
    <w:rsid w:val="00F6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09CF"/>
    <w:rPr>
      <w:i/>
      <w:iCs/>
    </w:rPr>
  </w:style>
  <w:style w:type="character" w:styleId="a5">
    <w:name w:val="Hyperlink"/>
    <w:basedOn w:val="a0"/>
    <w:uiPriority w:val="99"/>
    <w:unhideWhenUsed/>
    <w:rsid w:val="00143B58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896B2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F6BF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B0B0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C6D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C6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a">
    <w:name w:val="Основной текст Знак"/>
    <w:basedOn w:val="a0"/>
    <w:link w:val="a9"/>
    <w:uiPriority w:val="1"/>
    <w:rsid w:val="001C6D79"/>
    <w:rPr>
      <w:rFonts w:ascii="Times New Roman" w:eastAsia="Times New Roman" w:hAnsi="Times New Roman" w:cs="Times New Roman"/>
      <w:sz w:val="27"/>
      <w:szCs w:val="27"/>
      <w:lang w:val="uk-UA"/>
    </w:rPr>
  </w:style>
  <w:style w:type="paragraph" w:customStyle="1" w:styleId="TableParagraph">
    <w:name w:val="Table Paragraph"/>
    <w:basedOn w:val="a"/>
    <w:uiPriority w:val="1"/>
    <w:qFormat/>
    <w:rsid w:val="001C6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926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6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z.gov.ua/article/interview/viktor-ljashko-pro-spromozhnu-merezhu-zoz-mi-jak-derzhava-budemo-zakachuvati-rukava-j-dopomaga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4502-C8E6-4036-B5AD-0E7DB99A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WIN7</cp:lastModifiedBy>
  <cp:revision>2</cp:revision>
  <cp:lastPrinted>2023-04-13T07:54:00Z</cp:lastPrinted>
  <dcterms:created xsi:type="dcterms:W3CDTF">2023-04-13T12:09:00Z</dcterms:created>
  <dcterms:modified xsi:type="dcterms:W3CDTF">2023-04-13T12:09:00Z</dcterms:modified>
</cp:coreProperties>
</file>