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F264B" w14:textId="77777777" w:rsidR="00793D13" w:rsidRPr="0032095D" w:rsidRDefault="00793D13" w:rsidP="00E260D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BA99ED3" w14:textId="123B35BA" w:rsidR="00793D13" w:rsidRPr="0032095D" w:rsidRDefault="00793D13" w:rsidP="00E260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095D">
        <w:rPr>
          <w:rFonts w:ascii="Times New Roman" w:hAnsi="Times New Roman" w:cs="Times New Roman"/>
          <w:b/>
          <w:bCs/>
          <w:sz w:val="26"/>
          <w:szCs w:val="26"/>
        </w:rPr>
        <w:t>ПОКАЗНИКИ РЕЗУЛЬТАТИВНОСТІ</w:t>
      </w:r>
    </w:p>
    <w:p w14:paraId="14C9F892" w14:textId="208D7A26" w:rsidR="00793D13" w:rsidRPr="0032095D" w:rsidRDefault="00793D13" w:rsidP="00E260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2095D">
        <w:rPr>
          <w:rFonts w:ascii="Times New Roman" w:hAnsi="Times New Roman" w:cs="Times New Roman"/>
          <w:b/>
          <w:bCs/>
          <w:sz w:val="26"/>
          <w:szCs w:val="26"/>
        </w:rPr>
        <w:t xml:space="preserve">до цілей </w:t>
      </w:r>
      <w:r w:rsidR="00E01A94">
        <w:rPr>
          <w:rFonts w:ascii="Times New Roman" w:hAnsi="Times New Roman" w:cs="Times New Roman"/>
          <w:b/>
          <w:bCs/>
          <w:sz w:val="26"/>
          <w:szCs w:val="26"/>
        </w:rPr>
        <w:t>місцевого</w:t>
      </w:r>
      <w:r w:rsidRPr="0032095D">
        <w:rPr>
          <w:rFonts w:ascii="Times New Roman" w:hAnsi="Times New Roman" w:cs="Times New Roman"/>
          <w:b/>
          <w:bCs/>
          <w:sz w:val="26"/>
          <w:szCs w:val="26"/>
        </w:rPr>
        <w:t xml:space="preserve"> плану заходів на 2025-2026 роки з реалізації </w:t>
      </w:r>
      <w:r w:rsidRPr="00177A2C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proofErr w:type="spellStart"/>
      <w:r w:rsidR="00132812" w:rsidRPr="00177A2C">
        <w:rPr>
          <w:rFonts w:ascii="Times New Roman" w:hAnsi="Times New Roman" w:cs="Times New Roman"/>
          <w:b/>
          <w:bCs/>
          <w:sz w:val="26"/>
          <w:szCs w:val="26"/>
        </w:rPr>
        <w:t>Журавненській</w:t>
      </w:r>
      <w:proofErr w:type="spellEnd"/>
      <w:r w:rsidR="00132812" w:rsidRPr="00177A2C">
        <w:rPr>
          <w:rFonts w:ascii="Times New Roman" w:hAnsi="Times New Roman" w:cs="Times New Roman"/>
          <w:b/>
          <w:bCs/>
          <w:sz w:val="26"/>
          <w:szCs w:val="26"/>
        </w:rPr>
        <w:t xml:space="preserve"> селищній територіальній громаді</w:t>
      </w:r>
      <w:r w:rsidRPr="00177A2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2095D">
        <w:rPr>
          <w:rFonts w:ascii="Times New Roman" w:hAnsi="Times New Roman" w:cs="Times New Roman"/>
          <w:b/>
          <w:bCs/>
          <w:sz w:val="26"/>
          <w:szCs w:val="26"/>
        </w:rPr>
        <w:t>Національної стратегії із створення безбар’єрного простору в Україні на період до 2030 року</w:t>
      </w:r>
    </w:p>
    <w:p w14:paraId="24E7BC3D" w14:textId="77777777" w:rsidR="00793D13" w:rsidRPr="0032095D" w:rsidRDefault="00793D13" w:rsidP="00E260D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1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091"/>
        <w:gridCol w:w="1366"/>
        <w:gridCol w:w="851"/>
        <w:gridCol w:w="583"/>
        <w:gridCol w:w="583"/>
        <w:gridCol w:w="583"/>
        <w:gridCol w:w="583"/>
        <w:gridCol w:w="583"/>
        <w:gridCol w:w="925"/>
        <w:gridCol w:w="1677"/>
        <w:gridCol w:w="2051"/>
        <w:gridCol w:w="2545"/>
      </w:tblGrid>
      <w:tr w:rsidR="00793D13" w:rsidRPr="0032095D" w14:paraId="28E62EA9" w14:textId="77777777" w:rsidTr="00793D13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C6A33D" w14:textId="5C6BB9B1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095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7112C3" w14:textId="77777777" w:rsidR="00793D13" w:rsidRPr="0032095D" w:rsidRDefault="00793D13" w:rsidP="00FC7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095D">
              <w:rPr>
                <w:rFonts w:ascii="Times New Roman" w:hAnsi="Times New Roman" w:cs="Times New Roman"/>
                <w:b/>
                <w:bCs/>
              </w:rPr>
              <w:t>Найменування показника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E96DC7" w14:textId="77777777" w:rsidR="00793D13" w:rsidRPr="0032095D" w:rsidRDefault="00793D13" w:rsidP="00FC7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095D">
              <w:rPr>
                <w:rFonts w:ascii="Times New Roman" w:hAnsi="Times New Roman" w:cs="Times New Roman"/>
                <w:b/>
                <w:bCs/>
              </w:rPr>
              <w:t>Одиниця вимірюван-ня</w:t>
            </w:r>
          </w:p>
        </w:tc>
        <w:tc>
          <w:tcPr>
            <w:tcW w:w="4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2521D7" w14:textId="77777777" w:rsidR="00793D13" w:rsidRPr="0032095D" w:rsidRDefault="00793D13" w:rsidP="004C50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095D">
              <w:rPr>
                <w:rFonts w:ascii="Times New Roman" w:hAnsi="Times New Roman" w:cs="Times New Roman"/>
                <w:b/>
                <w:bCs/>
              </w:rPr>
              <w:t>Значення по</w:t>
            </w:r>
            <w:bookmarkStart w:id="0" w:name="_GoBack"/>
            <w:bookmarkEnd w:id="0"/>
            <w:r w:rsidRPr="0032095D">
              <w:rPr>
                <w:rFonts w:ascii="Times New Roman" w:hAnsi="Times New Roman" w:cs="Times New Roman"/>
                <w:b/>
                <w:bCs/>
              </w:rPr>
              <w:t>казника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9017F1" w14:textId="77777777" w:rsidR="00793D13" w:rsidRPr="0032095D" w:rsidRDefault="00793D13" w:rsidP="00FC7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095D">
              <w:rPr>
                <w:rFonts w:ascii="Times New Roman" w:hAnsi="Times New Roman" w:cs="Times New Roman"/>
                <w:b/>
                <w:bCs/>
              </w:rPr>
              <w:t>Періодичність проведення моніторингу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F31C11" w14:textId="77777777" w:rsidR="00793D13" w:rsidRPr="0032095D" w:rsidRDefault="00793D13" w:rsidP="00FC7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095D">
              <w:rPr>
                <w:rFonts w:ascii="Times New Roman" w:hAnsi="Times New Roman" w:cs="Times New Roman"/>
                <w:b/>
                <w:bCs/>
              </w:rPr>
              <w:t>Відповідальний за проведення моніторингу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8895C4" w14:textId="230C4774" w:rsidR="00793D13" w:rsidRPr="0032095D" w:rsidRDefault="00793D13" w:rsidP="00FC79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095D">
              <w:rPr>
                <w:rFonts w:ascii="Times New Roman" w:hAnsi="Times New Roman" w:cs="Times New Roman"/>
                <w:b/>
                <w:bCs/>
              </w:rPr>
              <w:t>Методологія розрахунку</w:t>
            </w:r>
          </w:p>
        </w:tc>
      </w:tr>
      <w:tr w:rsidR="00793D13" w:rsidRPr="0032095D" w14:paraId="4C9DEFBA" w14:textId="77777777" w:rsidTr="00793D13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D48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DFD0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3069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B7241C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095D">
              <w:rPr>
                <w:rFonts w:ascii="Times New Roman" w:hAnsi="Times New Roman" w:cs="Times New Roman"/>
                <w:b/>
                <w:bCs/>
              </w:rPr>
              <w:t>базове</w:t>
            </w:r>
          </w:p>
        </w:tc>
        <w:tc>
          <w:tcPr>
            <w:tcW w:w="2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F0F23B" w14:textId="77777777" w:rsidR="00793D13" w:rsidRPr="0032095D" w:rsidRDefault="00793D13" w:rsidP="00B66F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095D">
              <w:rPr>
                <w:rFonts w:ascii="Times New Roman" w:hAnsi="Times New Roman" w:cs="Times New Roman"/>
                <w:b/>
                <w:bCs/>
              </w:rPr>
              <w:t>за роками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8993C7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095D">
              <w:rPr>
                <w:rFonts w:ascii="Times New Roman" w:hAnsi="Times New Roman" w:cs="Times New Roman"/>
                <w:b/>
                <w:bCs/>
              </w:rPr>
              <w:t>цільове</w:t>
            </w: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2B09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C7EC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5F6E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3D13" w:rsidRPr="0032095D" w14:paraId="4A3A3E34" w14:textId="77777777" w:rsidTr="00793D13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9AA5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913F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E78A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882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70788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095D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18B66F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095D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1BABD9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095D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9C7068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095D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91380C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095D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FE46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9C13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33CF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5AC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3D13" w:rsidRPr="0032095D" w14:paraId="0FD4F893" w14:textId="77777777" w:rsidTr="00793D13">
        <w:trPr>
          <w:trHeight w:val="315"/>
        </w:trPr>
        <w:tc>
          <w:tcPr>
            <w:tcW w:w="125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713D46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Напрям 1. Фізична безбар’єрність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4889A3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3D13" w:rsidRPr="0032095D" w14:paraId="52EFCE4B" w14:textId="77777777" w:rsidTr="00793D13">
        <w:trPr>
          <w:trHeight w:val="315"/>
        </w:trPr>
        <w:tc>
          <w:tcPr>
            <w:tcW w:w="151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50E861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Стратегічна ціль. Новостворені обʼєкти фізичного оточення відповідають вимогам до фізичної безбарʼєрності</w:t>
            </w:r>
          </w:p>
        </w:tc>
      </w:tr>
      <w:tr w:rsidR="00793D13" w:rsidRPr="0032095D" w14:paraId="790DBE4E" w14:textId="77777777" w:rsidTr="000263D5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C9F33A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84EC0F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Кількість публікацій/ заходів з підвищення рівня обізнаності громадськості щодо норм та стандартів фізичної доступності, а також їх права на фізичну доступність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60DC2F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одиниць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EBBDA8" w14:textId="598F57A0" w:rsidR="00793D13" w:rsidRPr="0032095D" w:rsidRDefault="000263D5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7B3EA" w14:textId="6B2179C0" w:rsidR="00793D13" w:rsidRPr="0032095D" w:rsidRDefault="000263D5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1E08B4" w14:textId="7E48B8C7" w:rsidR="00793D13" w:rsidRPr="0032095D" w:rsidRDefault="000263D5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409C10" w14:textId="710D3B70" w:rsidR="00793D13" w:rsidRPr="0032095D" w:rsidRDefault="000263D5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FCDE8" w14:textId="6A13C0A5" w:rsidR="00793D13" w:rsidRPr="0032095D" w:rsidRDefault="000263D5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7B0AB0" w14:textId="2C37F68F" w:rsidR="00793D13" w:rsidRPr="0032095D" w:rsidRDefault="000263D5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55A766" w14:textId="706ADEE4" w:rsidR="00793D13" w:rsidRPr="0032095D" w:rsidRDefault="000263D5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03ED5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щокварталу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5917D2" w14:textId="28AAC43D" w:rsidR="00793D13" w:rsidRDefault="00AA624C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624C">
              <w:rPr>
                <w:rFonts w:ascii="Times New Roman" w:hAnsi="Times New Roman" w:cs="Times New Roman"/>
              </w:rPr>
              <w:t xml:space="preserve">Відділ документообігу, інформаційної роботи та </w:t>
            </w:r>
            <w:proofErr w:type="spellStart"/>
            <w:r w:rsidRPr="00AA624C">
              <w:rPr>
                <w:rFonts w:ascii="Times New Roman" w:hAnsi="Times New Roman" w:cs="Times New Roman"/>
              </w:rPr>
              <w:t>зв’язків</w:t>
            </w:r>
            <w:proofErr w:type="spellEnd"/>
            <w:r w:rsidRPr="00AA624C">
              <w:rPr>
                <w:rFonts w:ascii="Times New Roman" w:hAnsi="Times New Roman" w:cs="Times New Roman"/>
              </w:rPr>
              <w:t xml:space="preserve"> з громадськістю</w:t>
            </w:r>
            <w:r w:rsidR="00177A2C">
              <w:rPr>
                <w:rFonts w:ascii="Times New Roman" w:hAnsi="Times New Roman" w:cs="Times New Roman"/>
              </w:rPr>
              <w:t>;</w:t>
            </w:r>
          </w:p>
          <w:p w14:paraId="7AB5E58B" w14:textId="32D51612" w:rsidR="00177A2C" w:rsidRPr="0032095D" w:rsidRDefault="00177A2C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 «Центр надання соціальних послуг»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400C1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 xml:space="preserve">Зазначається кількість новин, звітів, опублікованих матеріалів у розділі “Безбар’єрний простір”, що були оприлюднені протягом року. </w:t>
            </w:r>
            <w:r w:rsidRPr="0032095D">
              <w:rPr>
                <w:rFonts w:ascii="Times New Roman" w:hAnsi="Times New Roman" w:cs="Times New Roman"/>
              </w:rPr>
              <w:br/>
              <w:t xml:space="preserve">До розрахунку включаються: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офіційно зафіксовані публікації (на сайтах, у ЗМІ, соціальних мережах органів влади або партнерських організацій);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публічні заходи, що мали освітню мету та стосувалися фізичної доступності;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lastRenderedPageBreak/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матеріали або події, в яких окремо підкреслювалося право осіб на фізичну доступність. </w:t>
            </w:r>
            <w:r w:rsidRPr="0032095D">
              <w:rPr>
                <w:rFonts w:ascii="Times New Roman" w:hAnsi="Times New Roman" w:cs="Times New Roman"/>
              </w:rPr>
              <w:br/>
              <w:t xml:space="preserve">Бажано фіксувати охоплення аудиторії. </w:t>
            </w:r>
          </w:p>
        </w:tc>
      </w:tr>
      <w:tr w:rsidR="00793D13" w:rsidRPr="0032095D" w14:paraId="11C7EC9C" w14:textId="77777777" w:rsidTr="00793D13">
        <w:trPr>
          <w:trHeight w:val="315"/>
        </w:trPr>
        <w:tc>
          <w:tcPr>
            <w:tcW w:w="15122" w:type="dxa"/>
            <w:gridSpan w:val="1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AC082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>Стратегічна ціль. Об’єкти фізичного оточення адаптуються відповідно до сучасних стандартів доступності</w:t>
            </w:r>
          </w:p>
        </w:tc>
      </w:tr>
      <w:tr w:rsidR="00793D13" w:rsidRPr="0032095D" w14:paraId="04F7AB18" w14:textId="77777777" w:rsidTr="00793D1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CCC4AF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A24743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Частка безбар’єрних об’єктів фізичного оточення (за формами власності, типами будівель, регіонами)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94BF70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відсотків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10D51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15,67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8D044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8A93A6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4F2410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277512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C305B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BFE11B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2B7A2F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FB51D0" w14:textId="65CFB744" w:rsidR="00793D13" w:rsidRPr="0032095D" w:rsidRDefault="00F03521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7A2C">
              <w:rPr>
                <w:rFonts w:ascii="Times New Roman" w:hAnsi="Times New Roman" w:cs="Times New Roman"/>
              </w:rPr>
              <w:t>Відділ комунальної інфраструктури, житлово-комунального господарства, інвестицій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7E7266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Методологія збору описана у Порядку проведення моніторингу та оцінки ступеня безбар’єрності об’єктів фізичного оточення і послуг для осіб з інвалідністю, затвердженого постановою Кабінету Міністрів України від 18 березня 2025 року №311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br/>
              <w:t>Зазначається частка обстежених об’єктів, які отримали оцінку “безбар’єрні” (загальна цифра по всіх типам).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br/>
              <w:t xml:space="preserve">Типи об’єктів визначаються щороку відповідно до Постанови Кабінету </w:t>
            </w:r>
            <w:r w:rsidRPr="0032095D">
              <w:rPr>
                <w:rFonts w:ascii="Times New Roman" w:hAnsi="Times New Roman" w:cs="Times New Roman"/>
              </w:rPr>
              <w:lastRenderedPageBreak/>
              <w:t>Міністрів України від 18 березня 2025 року №311</w:t>
            </w:r>
          </w:p>
        </w:tc>
      </w:tr>
      <w:tr w:rsidR="00793D13" w:rsidRPr="0032095D" w14:paraId="45D46C0B" w14:textId="77777777" w:rsidTr="00793D1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6B6ABF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AEF9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Частка об’єктів благоустрою (за типами), що відповідають вимогам до безбар’єрності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F725C9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 xml:space="preserve">відсотків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71825C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A2E44E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1D58DB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E69F33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7658F7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3FFC3C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BC510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7E55F5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B48A1E" w14:textId="2CFB1B6C" w:rsidR="00793D13" w:rsidRPr="0032095D" w:rsidRDefault="00F03521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624C">
              <w:rPr>
                <w:rFonts w:ascii="Times New Roman" w:hAnsi="Times New Roman" w:cs="Times New Roman"/>
              </w:rPr>
              <w:t>Відділ комунальної інфраструктури, житлово-комунального господарства, інвестицій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23933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Методологія збору описана у Порядку проведення моніторингу та оцінки ступеня безбар’єрності об’єктів фізичного оточення і послуг для осіб з інвалідністю, затвердженого постановою Кабінету Міністрів України від 18 березня 2025 року №311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br/>
              <w:t>Подається цифра, що відображає частку обстежених об’єктів, які отримали оцінку “безбар’єрні” серед об’єктів благоустрою.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br/>
              <w:t>До розрахунку включаються:</w:t>
            </w:r>
            <w:r w:rsidRPr="0032095D">
              <w:rPr>
                <w:rFonts w:ascii="Times New Roman" w:hAnsi="Times New Roman" w:cs="Times New Roman"/>
              </w:rPr>
              <w:br/>
              <w:t>1) території загального користування:</w:t>
            </w:r>
            <w:r w:rsidRPr="0032095D">
              <w:rPr>
                <w:rFonts w:ascii="Times New Roman" w:hAnsi="Times New Roman" w:cs="Times New Roman"/>
              </w:rPr>
              <w:br/>
              <w:t>а) парки (гідропарки, лугопарки, лісопарки, парки культури та відпочинку, парки - пам'ятки садово-</w:t>
            </w:r>
            <w:r w:rsidRPr="0032095D">
              <w:rPr>
                <w:rFonts w:ascii="Times New Roman" w:hAnsi="Times New Roman" w:cs="Times New Roman"/>
              </w:rPr>
              <w:lastRenderedPageBreak/>
              <w:t>паркового мистецтва, спортивні, дитячі, історичні, національні, меморіальні та інші), рекреаційні зони, сади, сквери та майданчики;</w:t>
            </w:r>
            <w:r w:rsidRPr="0032095D">
              <w:rPr>
                <w:rFonts w:ascii="Times New Roman" w:hAnsi="Times New Roman" w:cs="Times New Roman"/>
              </w:rPr>
              <w:br/>
              <w:t>б) пам'ятки культурної та історичної спадщини;</w:t>
            </w:r>
            <w:r w:rsidRPr="0032095D">
              <w:rPr>
                <w:rFonts w:ascii="Times New Roman" w:hAnsi="Times New Roman" w:cs="Times New Roman"/>
              </w:rPr>
              <w:br/>
              <w:t>в) майдани, площі, бульвари, проспекти;</w:t>
            </w:r>
            <w:r w:rsidRPr="0032095D">
              <w:rPr>
                <w:rFonts w:ascii="Times New Roman" w:hAnsi="Times New Roman" w:cs="Times New Roman"/>
              </w:rPr>
              <w:br/>
              <w:t>г) вулиці, дороги, провулки, узвози, проїзди, пішохідні та велосипедні доріжки;</w:t>
            </w:r>
            <w:r w:rsidRPr="0032095D">
              <w:rPr>
                <w:rFonts w:ascii="Times New Roman" w:hAnsi="Times New Roman" w:cs="Times New Roman"/>
              </w:rPr>
              <w:br/>
              <w:t>ґ) пляжі;</w:t>
            </w:r>
            <w:r w:rsidRPr="0032095D">
              <w:rPr>
                <w:rFonts w:ascii="Times New Roman" w:hAnsi="Times New Roman" w:cs="Times New Roman"/>
              </w:rPr>
              <w:br/>
              <w:t>д) кладовища;</w:t>
            </w:r>
            <w:r w:rsidRPr="0032095D">
              <w:rPr>
                <w:rFonts w:ascii="Times New Roman" w:hAnsi="Times New Roman" w:cs="Times New Roman"/>
              </w:rPr>
              <w:br/>
              <w:t>е) інші території загального користування;</w:t>
            </w:r>
            <w:r w:rsidRPr="0032095D">
              <w:rPr>
                <w:rFonts w:ascii="Times New Roman" w:hAnsi="Times New Roman" w:cs="Times New Roman"/>
              </w:rPr>
              <w:br/>
              <w:t>2) прибудинкові території;</w:t>
            </w:r>
            <w:r w:rsidRPr="0032095D">
              <w:rPr>
                <w:rFonts w:ascii="Times New Roman" w:hAnsi="Times New Roman" w:cs="Times New Roman"/>
              </w:rPr>
              <w:br/>
              <w:t>3) території будівель та споруд інженерного захисту територій;</w:t>
            </w:r>
            <w:r w:rsidRPr="0032095D">
              <w:rPr>
                <w:rFonts w:ascii="Times New Roman" w:hAnsi="Times New Roman" w:cs="Times New Roman"/>
              </w:rPr>
              <w:br/>
              <w:t>4) території підприємств, установ, організацій та закріплені за ними території на умовах договору.</w:t>
            </w:r>
          </w:p>
        </w:tc>
      </w:tr>
      <w:tr w:rsidR="00793D13" w:rsidRPr="0032095D" w14:paraId="743FD365" w14:textId="77777777" w:rsidTr="00793D1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41B685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03BB98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 xml:space="preserve">Частка об’єктів спортивної </w:t>
            </w:r>
            <w:r w:rsidRPr="0032095D">
              <w:rPr>
                <w:rFonts w:ascii="Times New Roman" w:hAnsi="Times New Roman" w:cs="Times New Roman"/>
              </w:rPr>
              <w:lastRenderedPageBreak/>
              <w:t>інфраструктури, що відповідають вимогам до безбар’єрності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40A7AA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>відсотків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6CE3D9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6DD36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4BD0A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E4E434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1361E1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9EB70C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E13E0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162169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0C84D3" w14:textId="2993ECE5" w:rsidR="00793D13" w:rsidRPr="00F03521" w:rsidRDefault="00F03521" w:rsidP="00E260DA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AA624C">
              <w:rPr>
                <w:rFonts w:ascii="Times New Roman" w:hAnsi="Times New Roman" w:cs="Times New Roman"/>
              </w:rPr>
              <w:t xml:space="preserve">Відділ комунальної </w:t>
            </w:r>
            <w:r w:rsidRPr="00AA624C">
              <w:rPr>
                <w:rFonts w:ascii="Times New Roman" w:hAnsi="Times New Roman" w:cs="Times New Roman"/>
              </w:rPr>
              <w:lastRenderedPageBreak/>
              <w:t>інфраструктури, житлово-комунального господарства, інвестицій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5057AA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 xml:space="preserve">Подається цифра, що відображає частку </w:t>
            </w:r>
            <w:r w:rsidRPr="0032095D">
              <w:rPr>
                <w:rFonts w:ascii="Times New Roman" w:hAnsi="Times New Roman" w:cs="Times New Roman"/>
              </w:rPr>
              <w:lastRenderedPageBreak/>
              <w:t>обстежених об’єктів, які отримали оцінку “безбар’єрні” серед об’єктів спортивної інфраструктури.</w:t>
            </w:r>
            <w:r w:rsidRPr="0032095D">
              <w:rPr>
                <w:rFonts w:ascii="Times New Roman" w:hAnsi="Times New Roman" w:cs="Times New Roman"/>
              </w:rPr>
              <w:br/>
              <w:t>До розрахунку включаються такі типи об’єктів:</w:t>
            </w:r>
            <w:r w:rsidRPr="0032095D">
              <w:rPr>
                <w:rFonts w:ascii="Times New Roman" w:hAnsi="Times New Roman" w:cs="Times New Roman"/>
              </w:rPr>
              <w:br/>
              <w:t xml:space="preserve">1. Стадіони </w:t>
            </w:r>
            <w:r w:rsidRPr="0032095D">
              <w:rPr>
                <w:rFonts w:ascii="Times New Roman" w:hAnsi="Times New Roman" w:cs="Times New Roman"/>
              </w:rPr>
              <w:br/>
              <w:t>2. Спортивні зали</w:t>
            </w:r>
            <w:r w:rsidRPr="0032095D">
              <w:rPr>
                <w:rFonts w:ascii="Times New Roman" w:hAnsi="Times New Roman" w:cs="Times New Roman"/>
              </w:rPr>
              <w:br/>
              <w:t>3. Басейни</w:t>
            </w:r>
            <w:r w:rsidRPr="0032095D">
              <w:rPr>
                <w:rFonts w:ascii="Times New Roman" w:hAnsi="Times New Roman" w:cs="Times New Roman"/>
              </w:rPr>
              <w:br/>
              <w:t>4. Спортивні майданчики</w:t>
            </w:r>
            <w:r w:rsidRPr="0032095D">
              <w:rPr>
                <w:rFonts w:ascii="Times New Roman" w:hAnsi="Times New Roman" w:cs="Times New Roman"/>
              </w:rPr>
              <w:br/>
              <w:t>5. Комплекси для зимових видів спорту</w:t>
            </w:r>
            <w:r w:rsidRPr="0032095D">
              <w:rPr>
                <w:rFonts w:ascii="Times New Roman" w:hAnsi="Times New Roman" w:cs="Times New Roman"/>
              </w:rPr>
              <w:br/>
              <w:t>6. Спеціалізовані спортивні споруди</w:t>
            </w:r>
            <w:r w:rsidRPr="0032095D">
              <w:rPr>
                <w:rFonts w:ascii="Times New Roman" w:hAnsi="Times New Roman" w:cs="Times New Roman"/>
              </w:rPr>
              <w:br/>
              <w:t>7. Об'єкти для оздоровчої фізкультури</w:t>
            </w:r>
            <w:r w:rsidRPr="0032095D">
              <w:rPr>
                <w:rFonts w:ascii="Times New Roman" w:hAnsi="Times New Roman" w:cs="Times New Roman"/>
              </w:rPr>
              <w:br/>
              <w:t>8. Спортивно-оздоровчі табори / бази відпочинку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br/>
              <w:t>Інформація вноситься до Системи у додатку до показника у розрізі типів об’єктів.</w:t>
            </w:r>
            <w:r w:rsidRPr="0032095D">
              <w:rPr>
                <w:rFonts w:ascii="Times New Roman" w:hAnsi="Times New Roman" w:cs="Times New Roman"/>
              </w:rPr>
              <w:br/>
              <w:t xml:space="preserve">Методологія збору описана у Порядку проведення моніторингу та оцінки ступеня безбар’єрності об’єктів фізичного оточення і послуг для </w:t>
            </w:r>
            <w:r w:rsidRPr="0032095D">
              <w:rPr>
                <w:rFonts w:ascii="Times New Roman" w:hAnsi="Times New Roman" w:cs="Times New Roman"/>
              </w:rPr>
              <w:lastRenderedPageBreak/>
              <w:t>осіб з інвалідністю, затвердженого постановою Кабінету Міністрів України від 18 березня 2025 року №311</w:t>
            </w:r>
          </w:p>
        </w:tc>
      </w:tr>
      <w:tr w:rsidR="00793D13" w:rsidRPr="0032095D" w14:paraId="4D9DA5D0" w14:textId="77777777" w:rsidTr="00793D1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9DC433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7CB1C4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Частка будівель фінансових установ, що відповідають вимогам до безбар’єрності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BC92DB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відсотків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5AAFB4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13658E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2BD845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14A72F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5E80E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84EF8C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E6939E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B9F25B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9384B9" w14:textId="66555BCB" w:rsidR="00793D13" w:rsidRPr="0032095D" w:rsidRDefault="00E410DA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624C">
              <w:rPr>
                <w:rFonts w:ascii="Times New Roman" w:hAnsi="Times New Roman" w:cs="Times New Roman"/>
              </w:rPr>
              <w:t>Відділ комунальної інфраструктури, житлово-комунального господарства, інвестицій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5763D4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Методологія збору описана у Порядку проведення моніторингу та оцінки ступеня безбар’єрності об’єктів фізичного оточення і послуг для осіб з інвалідністю, затвердженого постановою Кабінету Міністрів України від 18 березня 2025 року №311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br/>
              <w:t>Зазначається частка обстежених об’єктів, які отримали оцінку “безбар’єрні” серед фінансових установ.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br/>
              <w:t>До розрахунку включаються такі типи об’єктів:</w:t>
            </w:r>
            <w:r w:rsidRPr="0032095D">
              <w:rPr>
                <w:rFonts w:ascii="Times New Roman" w:hAnsi="Times New Roman" w:cs="Times New Roman"/>
              </w:rPr>
              <w:br/>
              <w:t>1. Банки</w:t>
            </w:r>
            <w:r w:rsidRPr="0032095D">
              <w:rPr>
                <w:rFonts w:ascii="Times New Roman" w:hAnsi="Times New Roman" w:cs="Times New Roman"/>
              </w:rPr>
              <w:br/>
              <w:t>2. Кредитні установи (небанківські)</w:t>
            </w:r>
            <w:r w:rsidRPr="0032095D">
              <w:rPr>
                <w:rFonts w:ascii="Times New Roman" w:hAnsi="Times New Roman" w:cs="Times New Roman"/>
              </w:rPr>
              <w:br/>
              <w:t>3. Страхові компанії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lastRenderedPageBreak/>
              <w:t>4. Інвестиційні установи</w:t>
            </w:r>
            <w:r w:rsidRPr="0032095D">
              <w:rPr>
                <w:rFonts w:ascii="Times New Roman" w:hAnsi="Times New Roman" w:cs="Times New Roman"/>
              </w:rPr>
              <w:br/>
              <w:t>5. Пенсійні фонди</w:t>
            </w:r>
            <w:r w:rsidRPr="0032095D">
              <w:rPr>
                <w:rFonts w:ascii="Times New Roman" w:hAnsi="Times New Roman" w:cs="Times New Roman"/>
              </w:rPr>
              <w:br/>
              <w:t>6. Фінансові установи соціального спрямування</w:t>
            </w:r>
            <w:r w:rsidRPr="0032095D">
              <w:rPr>
                <w:rFonts w:ascii="Times New Roman" w:hAnsi="Times New Roman" w:cs="Times New Roman"/>
              </w:rPr>
              <w:br/>
              <w:t>7. Іпотечні компанії.</w:t>
            </w:r>
          </w:p>
        </w:tc>
      </w:tr>
      <w:tr w:rsidR="00793D13" w:rsidRPr="0032095D" w14:paraId="609E815D" w14:textId="77777777" w:rsidTr="00793D1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EF08AF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2CFF88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Частка обʼєктів фонду захисних споруд цивільного захисту (за регіонами), що відповідає вимогам до безбар’єрності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53FC10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відсотків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F9F52A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3F0FC5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4CC54A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39A816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F225BE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9EA404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071DEC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13B2D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щокварталу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C190BE" w14:textId="3FC4D3C6" w:rsidR="00793D13" w:rsidRPr="0032095D" w:rsidRDefault="00E410DA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624C">
              <w:rPr>
                <w:rFonts w:ascii="Times New Roman" w:hAnsi="Times New Roman" w:cs="Times New Roman"/>
              </w:rPr>
              <w:t>Відділ комунальної інфраструктури, житлово-комунального господарства, інвестицій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DA954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 xml:space="preserve">Подається цифра, що відображає частку обстежених об’єктів фонду захисних споруд цивільного захисту, які отримали оцінку “безбар’єрні” та зазначили це у системі «Інформаційна система "Облік та візуалізація фонду захисних споруд цивільного захисту». Дану інформацію надає ДСНС як держатель інформаційної системи.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br/>
              <w:t xml:space="preserve">Мінрозвитку надає інформацію ДСНС щодо введених в експлуатацію об’єктів фонду захисних споруд цивільного захисту на яких проводились будівельні роботи та які відповідають вимогам безбар’єрності, </w:t>
            </w:r>
            <w:r w:rsidRPr="0032095D">
              <w:rPr>
                <w:rFonts w:ascii="Times New Roman" w:hAnsi="Times New Roman" w:cs="Times New Roman"/>
              </w:rPr>
              <w:lastRenderedPageBreak/>
              <w:t xml:space="preserve">отриману з Реєстру будівельної діяльності.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br/>
              <w:t xml:space="preserve">У разі тимчасової непридатності укриття, об'єкт не враховується у розрахунку.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br/>
              <w:t xml:space="preserve">До розрахунку включаються: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сховища;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протирадіаційне укриття;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найпростіше укриття;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підземні споруди подвійного призначення;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захисні споруди спеціального призначення. </w:t>
            </w:r>
          </w:p>
        </w:tc>
      </w:tr>
      <w:tr w:rsidR="00793D13" w:rsidRPr="0032095D" w14:paraId="3018F946" w14:textId="77777777" w:rsidTr="001F6BB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D5B72F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E15D38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624C">
              <w:rPr>
                <w:rFonts w:ascii="Times New Roman" w:hAnsi="Times New Roman" w:cs="Times New Roman"/>
              </w:rPr>
              <w:t>Кількість звернень (за регіоном, наявністю інвалідності, малолітніх дітей тощо), щодо порушення вимог до безбар’єрності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C1EA56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одиниць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CEED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47B98A" w14:textId="77777777" w:rsidR="00793D13" w:rsidRPr="001F6BB8" w:rsidRDefault="00793D13" w:rsidP="00E260D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CEED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A5A3DF" w14:textId="1794214E" w:rsidR="00793D13" w:rsidRPr="001F6BB8" w:rsidRDefault="00793D13" w:rsidP="00E260D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CEED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8C7975" w14:textId="2895D835" w:rsidR="00793D13" w:rsidRPr="001F6BB8" w:rsidRDefault="00793D13" w:rsidP="00E260D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CEED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1C3001" w14:textId="4848B6B3" w:rsidR="00793D13" w:rsidRPr="001F6BB8" w:rsidRDefault="00793D13" w:rsidP="00E260D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CEED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6A8089" w14:textId="55556677" w:rsidR="00793D13" w:rsidRPr="001F6BB8" w:rsidRDefault="00793D13" w:rsidP="00E260D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CEED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D1F072" w14:textId="2D634B88" w:rsidR="00793D13" w:rsidRPr="001F6BB8" w:rsidRDefault="00793D13" w:rsidP="00E260D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0215CF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0BA294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щокварталу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68F5AF" w14:textId="029BB476" w:rsidR="00793D13" w:rsidRPr="0032095D" w:rsidRDefault="00AA624C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bookmarkStart w:id="1" w:name="_Hlk76732735"/>
            <w:r w:rsidRPr="00AA624C">
              <w:rPr>
                <w:rFonts w:ascii="Times New Roman" w:hAnsi="Times New Roman" w:cs="Times New Roman"/>
              </w:rPr>
              <w:t xml:space="preserve">Відділ документообігу, інформаційної роботи та </w:t>
            </w:r>
            <w:proofErr w:type="spellStart"/>
            <w:r w:rsidRPr="00AA624C">
              <w:rPr>
                <w:rFonts w:ascii="Times New Roman" w:hAnsi="Times New Roman" w:cs="Times New Roman"/>
              </w:rPr>
              <w:t>зв’язків</w:t>
            </w:r>
            <w:proofErr w:type="spellEnd"/>
            <w:r w:rsidRPr="00AA624C">
              <w:rPr>
                <w:rFonts w:ascii="Times New Roman" w:hAnsi="Times New Roman" w:cs="Times New Roman"/>
              </w:rPr>
              <w:t xml:space="preserve"> з громадськістю</w:t>
            </w:r>
            <w:bookmarkEnd w:id="1"/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A62651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 xml:space="preserve">Подається цифра, що відображає загальну суму звернень щодо порушення вимог до безбар’єрності, отриману органом влади.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br/>
              <w:t xml:space="preserve">Звернення класифікуються за такими ознаками: </w:t>
            </w:r>
            <w:r w:rsidRPr="0032095D">
              <w:rPr>
                <w:rFonts w:ascii="Times New Roman" w:hAnsi="Times New Roman" w:cs="Times New Roman"/>
              </w:rPr>
              <w:br/>
              <w:t xml:space="preserve">Регіон подання: загальнонаціональний, </w:t>
            </w:r>
            <w:r w:rsidRPr="0032095D">
              <w:rPr>
                <w:rFonts w:ascii="Times New Roman" w:hAnsi="Times New Roman" w:cs="Times New Roman"/>
              </w:rPr>
              <w:lastRenderedPageBreak/>
              <w:t xml:space="preserve">область, громада </w:t>
            </w:r>
            <w:r w:rsidRPr="0032095D">
              <w:rPr>
                <w:rFonts w:ascii="Times New Roman" w:hAnsi="Times New Roman" w:cs="Times New Roman"/>
              </w:rPr>
              <w:br/>
              <w:t xml:space="preserve">Категорія заявника: особи з інвалідністю, особи з малолітніми дітьми, особи похилого віку, ветерани війни інші маломобільні групи населення.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br/>
              <w:t xml:space="preserve">Тема звернення розподіляється відповідно до напрямків безбар'єрності: фізична, освітня, цифрова, економічна, інформаційна, суспільна та громадянська.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br/>
              <w:t xml:space="preserve">Джерелами даних можуть бути: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вхідна кореспонденція органів виконавчої влади та місцевого самоврядування;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електронні звернення громадян;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інформаційні системи документообігу (наприклад, АСКОД, CRM-системи);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контактні центри, </w:t>
            </w:r>
            <w:r w:rsidRPr="0032095D">
              <w:rPr>
                <w:rFonts w:ascii="Times New Roman" w:hAnsi="Times New Roman" w:cs="Times New Roman"/>
              </w:rPr>
              <w:lastRenderedPageBreak/>
              <w:t xml:space="preserve">гарячі лінії, платформи е-звернень.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До показника включаються: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звернення, де чітко вказано проблему з безбар’єрністю;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повідомлення, що містять конкретні факти або об'єкти;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звернення від маломобільних груп населення щодо порушення їхніх прав, зафіксовані в офіційній системі документообігу. </w:t>
            </w:r>
          </w:p>
        </w:tc>
      </w:tr>
      <w:tr w:rsidR="00793D13" w:rsidRPr="0032095D" w14:paraId="2B1B580D" w14:textId="77777777" w:rsidTr="00793D1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0560DB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619B6F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Частка будівель закладів освіти, які відповідають вимогам до безбар’єрності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94BE0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відсотків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4BD290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D9AFF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412FF0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D8D869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F32642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0FA452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1F984E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22E338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73B0FC" w14:textId="46E2B87E" w:rsidR="00793D13" w:rsidRPr="0032095D" w:rsidRDefault="00E410DA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624C">
              <w:rPr>
                <w:rFonts w:ascii="Times New Roman" w:hAnsi="Times New Roman" w:cs="Times New Roman"/>
              </w:rPr>
              <w:t xml:space="preserve">Відділ </w:t>
            </w:r>
            <w:r w:rsidR="00AA624C" w:rsidRPr="00210AE3">
              <w:rPr>
                <w:rFonts w:ascii="Times New Roman" w:hAnsi="Times New Roman" w:cs="Times New Roman"/>
              </w:rPr>
              <w:t>освіти, культури, молоді, спорту, туризму та охорони культурної спадщини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59A4FE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Методологія збору описана у Порядку проведення моніторингу та оцінки ступеня безбар’єрності об’єктів фізичного оточення і послуг для осіб з інвалідністю, затвердженого постановою КМУ від 18 березня 2025 року №311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br/>
              <w:t xml:space="preserve">Подається цифра, що відображає частку </w:t>
            </w:r>
            <w:r w:rsidRPr="0032095D">
              <w:rPr>
                <w:rFonts w:ascii="Times New Roman" w:hAnsi="Times New Roman" w:cs="Times New Roman"/>
              </w:rPr>
              <w:lastRenderedPageBreak/>
              <w:t>обстежених об’єктів, які отримали оцінку “безбар’єрні” серед обстежених закладів освіти.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br/>
              <w:t xml:space="preserve">До закладів освіти, які підлягають обстеженню належать: </w:t>
            </w:r>
            <w:r w:rsidRPr="0032095D">
              <w:rPr>
                <w:rFonts w:ascii="Times New Roman" w:hAnsi="Times New Roman" w:cs="Times New Roman"/>
              </w:rPr>
              <w:br/>
              <w:t>- Заклади дошкільної освіти;</w:t>
            </w:r>
            <w:r w:rsidRPr="0032095D">
              <w:rPr>
                <w:rFonts w:ascii="Times New Roman" w:hAnsi="Times New Roman" w:cs="Times New Roman"/>
              </w:rPr>
              <w:br/>
              <w:t>- Заклади загальної середньої освіти;</w:t>
            </w:r>
            <w:r w:rsidRPr="0032095D">
              <w:rPr>
                <w:rFonts w:ascii="Times New Roman" w:hAnsi="Times New Roman" w:cs="Times New Roman"/>
              </w:rPr>
              <w:br/>
              <w:t>- Заклади професійної (професійно-технічної) освіти;</w:t>
            </w:r>
            <w:r w:rsidRPr="0032095D">
              <w:rPr>
                <w:rFonts w:ascii="Times New Roman" w:hAnsi="Times New Roman" w:cs="Times New Roman"/>
              </w:rPr>
              <w:br/>
              <w:t>- Заклади фахової передвищої освіти;</w:t>
            </w:r>
            <w:r w:rsidRPr="0032095D">
              <w:rPr>
                <w:rFonts w:ascii="Times New Roman" w:hAnsi="Times New Roman" w:cs="Times New Roman"/>
              </w:rPr>
              <w:br/>
              <w:t>- Заклади фахової передвищої освіти (можливо вищої);</w:t>
            </w:r>
            <w:r w:rsidRPr="0032095D">
              <w:rPr>
                <w:rFonts w:ascii="Times New Roman" w:hAnsi="Times New Roman" w:cs="Times New Roman"/>
              </w:rPr>
              <w:br/>
              <w:t xml:space="preserve">- Заклади післядипломної освіти; </w:t>
            </w:r>
            <w:r w:rsidRPr="0032095D">
              <w:rPr>
                <w:rFonts w:ascii="Times New Roman" w:hAnsi="Times New Roman" w:cs="Times New Roman"/>
              </w:rPr>
              <w:br/>
              <w:t>- Інші типи освітніх закладів (Інклюзивно-ресурсні центри (ІРЦ)), навчально-реабілітаційні центри, заклади позашкільної освіти (будинки творчості, спортивні школи, музичні школи тощо).</w:t>
            </w:r>
          </w:p>
        </w:tc>
      </w:tr>
      <w:tr w:rsidR="00793D13" w:rsidRPr="0032095D" w14:paraId="77EAE1C7" w14:textId="77777777" w:rsidTr="00793D1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0DB1E7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6EDA30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Частка будівель закладів охорони здоров’я, які відповідають вимогам до безбар’єрності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B53329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відсотків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788FE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363D61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DD9A9E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8153DA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7A8B5E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415F53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F2EC9C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6C0760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639429" w14:textId="327A751C" w:rsidR="00793D13" w:rsidRPr="0032095D" w:rsidRDefault="00AA624C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КНП «</w:t>
            </w:r>
            <w:proofErr w:type="spellStart"/>
            <w:r>
              <w:rPr>
                <w:rFonts w:ascii="Times New Roman" w:hAnsi="Times New Roman" w:cs="Times New Roman"/>
              </w:rPr>
              <w:t>Журавнівська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міська лікарня»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37E221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Методологія збору описана у Порядку проведення моніторингу та оцінки ступеня безбар’єрності об’єктів фізичного оточення і послуг для осіб з інвалідністю, затвердженого постановою КМУ від 18 березня 2025 року №311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br/>
              <w:t>Зазначається частка обстежених об’єктів, які отримали оцінку “безбар’єрні” серед закладів охорони здоров’я.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br/>
              <w:t xml:space="preserve">До показника включаються: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амбулаторії, ФАПи;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центри первинної медико-санітарної допомоги;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поліклініки та заклади що надають амбулаторну медичну допомогу;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госпіталі (військові чи спеціалізовані)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лікарні (міські, районні, обласні);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lastRenderedPageBreak/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пологові будинки та пологодопоміжні заклади;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спеціалізовані заклади та диспансери.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центри екстреної медичної допомоги.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br/>
              <w:t>Можливе групування показника: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за регіонами (областями);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за формою власності (державна, комунальна, приватна);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за типом медичного закладу.</w:t>
            </w:r>
          </w:p>
        </w:tc>
      </w:tr>
      <w:tr w:rsidR="00793D13" w:rsidRPr="0032095D" w14:paraId="43422E3B" w14:textId="77777777" w:rsidTr="00793D13">
        <w:trPr>
          <w:trHeight w:val="315"/>
        </w:trPr>
        <w:tc>
          <w:tcPr>
            <w:tcW w:w="15122" w:type="dxa"/>
            <w:gridSpan w:val="1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E48EA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>Стратегічна ціль. Транспорт та транспортна інфраструктура є фізично доступною</w:t>
            </w:r>
          </w:p>
        </w:tc>
      </w:tr>
      <w:tr w:rsidR="00793D13" w:rsidRPr="0032095D" w14:paraId="08183598" w14:textId="77777777" w:rsidTr="001F6BB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CEED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F46DCA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CEED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24CEDA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624C">
              <w:rPr>
                <w:rFonts w:ascii="Times New Roman" w:hAnsi="Times New Roman" w:cs="Times New Roman"/>
              </w:rPr>
              <w:t>Частка громадського транспорту (за типом сполучення, формою власності), що відповідає вимогам до безбар’єрності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CEED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204D53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відсотків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CEED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43319C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CEED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D2F9F3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CEED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CBB5AB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CEED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054B86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CEED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F0475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CEED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CADFDC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CEED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ACF37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CEED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EC5815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CEED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FBF513" w14:textId="3CF35D0F" w:rsidR="00793D13" w:rsidRPr="0032095D" w:rsidRDefault="00AA624C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624C">
              <w:rPr>
                <w:rFonts w:ascii="Times New Roman" w:hAnsi="Times New Roman" w:cs="Times New Roman"/>
              </w:rPr>
              <w:t>Відділ комунальної інфраструктури, житлово-комунального господарства, інвестицій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CEED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F58C68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 xml:space="preserve">Подається цифра, що відображає частку громадського транспорту від загальної кількості наявного транспорту, що відповідає вимогам до безбар’єрності. </w:t>
            </w:r>
            <w:r w:rsidRPr="0032095D">
              <w:rPr>
                <w:rFonts w:ascii="Times New Roman" w:hAnsi="Times New Roman" w:cs="Times New Roman"/>
              </w:rPr>
              <w:br/>
              <w:t xml:space="preserve">Інформація подається відповідно до форми власності: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комунальний транспорт (ОВА та ОМС);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lastRenderedPageBreak/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приватні перевізники.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br/>
              <w:t xml:space="preserve">До показника включаються такі типи сполучення: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міське (автобус, маршрутне таксі, трамвай, тролейбус, метрополітен);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приміське (автобус, маршрутне таксі).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br/>
              <w:t xml:space="preserve">До критеріїв відповідності транспорту до вимог безбар’єрності включаються: </w:t>
            </w:r>
            <w:r w:rsidRPr="0032095D">
              <w:rPr>
                <w:rFonts w:ascii="Times New Roman" w:hAnsi="Times New Roman" w:cs="Times New Roman"/>
              </w:rPr>
              <w:br/>
              <w:t xml:space="preserve">1) низька підлога; </w:t>
            </w:r>
            <w:r w:rsidRPr="0032095D">
              <w:rPr>
                <w:rFonts w:ascii="Times New Roman" w:hAnsi="Times New Roman" w:cs="Times New Roman"/>
              </w:rPr>
              <w:br/>
              <w:t xml:space="preserve">2) автоматичний підйомник або висувна апарель; </w:t>
            </w:r>
            <w:r w:rsidRPr="0032095D">
              <w:rPr>
                <w:rFonts w:ascii="Times New Roman" w:hAnsi="Times New Roman" w:cs="Times New Roman"/>
              </w:rPr>
              <w:br/>
              <w:t xml:space="preserve">3) місце для кріплення візка; </w:t>
            </w:r>
            <w:r w:rsidRPr="0032095D">
              <w:rPr>
                <w:rFonts w:ascii="Times New Roman" w:hAnsi="Times New Roman" w:cs="Times New Roman"/>
              </w:rPr>
              <w:br/>
              <w:t xml:space="preserve">4) кнопка виклику водія/сигнал SOS; </w:t>
            </w:r>
            <w:r w:rsidRPr="0032095D">
              <w:rPr>
                <w:rFonts w:ascii="Times New Roman" w:hAnsi="Times New Roman" w:cs="Times New Roman"/>
              </w:rPr>
              <w:br/>
              <w:t xml:space="preserve">5) звукова та візуальна інформація про зупинки; </w:t>
            </w:r>
            <w:r w:rsidRPr="0032095D">
              <w:rPr>
                <w:rFonts w:ascii="Times New Roman" w:hAnsi="Times New Roman" w:cs="Times New Roman"/>
              </w:rPr>
              <w:br/>
              <w:t xml:space="preserve">6) прохід і двері не менше ніж 0,9 м. </w:t>
            </w:r>
          </w:p>
        </w:tc>
      </w:tr>
      <w:tr w:rsidR="00793D13" w:rsidRPr="0032095D" w14:paraId="4B60CA8D" w14:textId="77777777" w:rsidTr="00793D1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033E39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6FF14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 xml:space="preserve">Частка зупинок громадського транспорту, що </w:t>
            </w:r>
            <w:r w:rsidRPr="0032095D">
              <w:rPr>
                <w:rFonts w:ascii="Times New Roman" w:hAnsi="Times New Roman" w:cs="Times New Roman"/>
              </w:rPr>
              <w:lastRenderedPageBreak/>
              <w:t>відповідають вимогам до безбар’єрності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246B2C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>відсотків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3046B6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1571C9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BAF24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EE5C59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599D26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EE73FA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E40801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13BB18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FD726B" w14:textId="76225606" w:rsidR="00793D13" w:rsidRPr="0032095D" w:rsidRDefault="00E410DA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410DA">
              <w:rPr>
                <w:rFonts w:ascii="Times New Roman" w:hAnsi="Times New Roman" w:cs="Times New Roman"/>
              </w:rPr>
              <w:t xml:space="preserve">Відділ комунальної інфраструктури, </w:t>
            </w:r>
            <w:r w:rsidRPr="00E410DA">
              <w:rPr>
                <w:rFonts w:ascii="Times New Roman" w:hAnsi="Times New Roman" w:cs="Times New Roman"/>
              </w:rPr>
              <w:lastRenderedPageBreak/>
              <w:t>житлово-комунального господарства, інвестицій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1B3F86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 xml:space="preserve">Методологія збору описана у Порядку проведення </w:t>
            </w:r>
            <w:r w:rsidRPr="0032095D">
              <w:rPr>
                <w:rFonts w:ascii="Times New Roman" w:hAnsi="Times New Roman" w:cs="Times New Roman"/>
              </w:rPr>
              <w:lastRenderedPageBreak/>
              <w:t xml:space="preserve">моніторингу та оцінки ступеня безбар’єрності об’єктів фізичного оточення і послуг для осіб з інвалідністю, затвердженого постановою Кабінету Міністрів України від 26 травня 2021 р. № 537.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br/>
              <w:t xml:space="preserve">Подається цифра, що відображає частку зупинок громадського транспорту у межах населеного пункту, що відповідають вимогам до безбар’єрності, від загальної кількості зупинок громадського транспорту.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br/>
              <w:t xml:space="preserve">До розрахунку включаються: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зупинки для автобусів, тролейбусів;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зупинки для трамваїв;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станції для метрополітену. </w:t>
            </w:r>
          </w:p>
        </w:tc>
      </w:tr>
      <w:tr w:rsidR="00793D13" w:rsidRPr="0032095D" w14:paraId="5B2EC777" w14:textId="77777777" w:rsidTr="00793D13">
        <w:trPr>
          <w:trHeight w:val="315"/>
        </w:trPr>
        <w:tc>
          <w:tcPr>
            <w:tcW w:w="15122" w:type="dxa"/>
            <w:gridSpan w:val="1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475904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>Напрям 2. Інформаційна безбар’єрність</w:t>
            </w:r>
          </w:p>
        </w:tc>
      </w:tr>
      <w:tr w:rsidR="00793D13" w:rsidRPr="0032095D" w14:paraId="215DA1F7" w14:textId="77777777" w:rsidTr="00793D13">
        <w:trPr>
          <w:trHeight w:val="315"/>
        </w:trPr>
        <w:tc>
          <w:tcPr>
            <w:tcW w:w="15122" w:type="dxa"/>
            <w:gridSpan w:val="1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A71858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Стратегічна ціль. Публічна інформація субʼєктів владних повноважень є доступною для кожного у різних форматах</w:t>
            </w:r>
          </w:p>
        </w:tc>
      </w:tr>
      <w:tr w:rsidR="00793D13" w:rsidRPr="0032095D" w14:paraId="0904AE39" w14:textId="77777777" w:rsidTr="00793D13">
        <w:trPr>
          <w:trHeight w:val="315"/>
        </w:trPr>
        <w:tc>
          <w:tcPr>
            <w:tcW w:w="15122" w:type="dxa"/>
            <w:gridSpan w:val="1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C2A36F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>Напрям 3. Цифрова безбар’єрність</w:t>
            </w:r>
          </w:p>
        </w:tc>
      </w:tr>
      <w:tr w:rsidR="00793D13" w:rsidRPr="0032095D" w14:paraId="72F9EE10" w14:textId="77777777" w:rsidTr="00793D13">
        <w:trPr>
          <w:trHeight w:val="315"/>
        </w:trPr>
        <w:tc>
          <w:tcPr>
            <w:tcW w:w="15122" w:type="dxa"/>
            <w:gridSpan w:val="1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9C6C78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Стратегічна ціль. Швидкісний Інтернет є доступним для всіх</w:t>
            </w:r>
          </w:p>
        </w:tc>
      </w:tr>
      <w:tr w:rsidR="00793D13" w:rsidRPr="0032095D" w14:paraId="4520071F" w14:textId="77777777" w:rsidTr="00793D13">
        <w:trPr>
          <w:trHeight w:val="315"/>
        </w:trPr>
        <w:tc>
          <w:tcPr>
            <w:tcW w:w="15122" w:type="dxa"/>
            <w:gridSpan w:val="1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B7E6D9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Стратегічна ціль. Усі бажаючі просто та доступно отримують цифрові знання і навички</w:t>
            </w:r>
          </w:p>
        </w:tc>
      </w:tr>
      <w:tr w:rsidR="00793D13" w:rsidRPr="0032095D" w14:paraId="42F79240" w14:textId="77777777" w:rsidTr="004C1084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E0680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0C5F54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624C">
              <w:rPr>
                <w:rFonts w:ascii="Times New Roman" w:hAnsi="Times New Roman" w:cs="Times New Roman"/>
              </w:rPr>
              <w:t>Кількість осіб, які пройшли офлайн-навчання щодо цифрової грамотності (за віком, статтю, регіоном)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B1D2AF" w14:textId="6EC7DEC5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 xml:space="preserve"> осіб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EC741F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2F75FF" w14:textId="2EC471B0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CE7BF9" w14:textId="32F6F78D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76CC1C" w14:textId="6B5EFFCD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81210C" w14:textId="6C938A8C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DD78CA" w14:textId="349BB5F2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6FB666" w14:textId="7D1FD003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B538C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щокварталу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50F0D4" w14:textId="39CF4727" w:rsidR="00793D13" w:rsidRPr="0032095D" w:rsidRDefault="00AA624C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624C">
              <w:rPr>
                <w:rFonts w:ascii="Times New Roman" w:hAnsi="Times New Roman" w:cs="Times New Roman"/>
              </w:rPr>
              <w:t xml:space="preserve">Відділ документообігу, інформаційної роботи та </w:t>
            </w:r>
            <w:proofErr w:type="spellStart"/>
            <w:r w:rsidRPr="00AA624C">
              <w:rPr>
                <w:rFonts w:ascii="Times New Roman" w:hAnsi="Times New Roman" w:cs="Times New Roman"/>
              </w:rPr>
              <w:t>зв’язків</w:t>
            </w:r>
            <w:proofErr w:type="spellEnd"/>
            <w:r w:rsidRPr="00AA624C">
              <w:rPr>
                <w:rFonts w:ascii="Times New Roman" w:hAnsi="Times New Roman" w:cs="Times New Roman"/>
              </w:rPr>
              <w:t xml:space="preserve"> з громадськістю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33E57B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 xml:space="preserve">Подається цифра, що відображає кількість осіб які пройшли навчання по цифровій грамотності в офлайн-режимі.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br/>
              <w:t xml:space="preserve">Показник подається з дезагрогованими даними за статтю (із загальної кількості зазначається кількість чоловіків і жінок) та за віком ( 18-24, 25 - 45, 46-65, 66+). Тобто цей показник має містити дані за 6 значеннями (2 за статтю і 4 за віковою групою). </w:t>
            </w:r>
          </w:p>
        </w:tc>
      </w:tr>
      <w:tr w:rsidR="00793D13" w:rsidRPr="0032095D" w14:paraId="0E996502" w14:textId="77777777" w:rsidTr="00793D13">
        <w:trPr>
          <w:trHeight w:val="315"/>
        </w:trPr>
        <w:tc>
          <w:tcPr>
            <w:tcW w:w="15122" w:type="dxa"/>
            <w:gridSpan w:val="1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B270A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Стратегічна ціль. Усі громадяни мають доступ до електронних публічних послуг</w:t>
            </w:r>
          </w:p>
        </w:tc>
      </w:tr>
      <w:tr w:rsidR="00793D13" w:rsidRPr="0032095D" w14:paraId="226D36B2" w14:textId="77777777" w:rsidTr="004C1084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C4AE22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590ED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 xml:space="preserve">Кількість точок безоплатного доступу до бездротового Інтернету у місцях </w:t>
            </w:r>
            <w:r w:rsidRPr="0032095D">
              <w:rPr>
                <w:rFonts w:ascii="Times New Roman" w:hAnsi="Times New Roman" w:cs="Times New Roman"/>
              </w:rPr>
              <w:lastRenderedPageBreak/>
              <w:t>надання публічних послуг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9C1D30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>одиниць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18794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F26806" w14:textId="2CE1C16D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8D7AFB" w14:textId="31DC7172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B3CFFE" w14:textId="1A68217F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3F10D3" w14:textId="6766A6E0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75486B" w14:textId="35B74E14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67FB94" w14:textId="7B91073D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2B13E9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A7C5DB" w14:textId="19C28903" w:rsidR="00793D13" w:rsidRPr="00E410DA" w:rsidRDefault="00E410DA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Відділ документообігу, інформаційної роботи та </w:t>
            </w:r>
            <w:proofErr w:type="spellStart"/>
            <w:r>
              <w:rPr>
                <w:rFonts w:ascii="Times New Roman" w:hAnsi="Times New Roman" w:cs="Times New Roman"/>
              </w:rPr>
              <w:t>зв’язків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громадськістю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5E5846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 xml:space="preserve">Подається в одиниці вимірювання - од. що відображає кількість точок доступу безкоштовного wi-fi, встановлених у місцях надання публічних </w:t>
            </w:r>
            <w:r w:rsidRPr="0032095D">
              <w:rPr>
                <w:rFonts w:ascii="Times New Roman" w:hAnsi="Times New Roman" w:cs="Times New Roman"/>
              </w:rPr>
              <w:lastRenderedPageBreak/>
              <w:t>послуг. Показник подається на основі фактичних даних, що надаються обласними, Київською міською державною (військовою) адміністраціями та органами місцевого самоврядування (за згодою). Показник вимірюється і подається щорічно</w:t>
            </w:r>
          </w:p>
        </w:tc>
      </w:tr>
      <w:tr w:rsidR="00793D13" w:rsidRPr="0032095D" w14:paraId="44710EEA" w14:textId="77777777" w:rsidTr="00793D13">
        <w:trPr>
          <w:trHeight w:val="315"/>
        </w:trPr>
        <w:tc>
          <w:tcPr>
            <w:tcW w:w="15122" w:type="dxa"/>
            <w:gridSpan w:val="1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D80628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>Напрям 4. Суспільна та громадянська безбар’єрність</w:t>
            </w:r>
          </w:p>
        </w:tc>
      </w:tr>
      <w:tr w:rsidR="00793D13" w:rsidRPr="0032095D" w14:paraId="3B82D800" w14:textId="77777777" w:rsidTr="00793D13">
        <w:trPr>
          <w:trHeight w:val="315"/>
        </w:trPr>
        <w:tc>
          <w:tcPr>
            <w:tcW w:w="15122" w:type="dxa"/>
            <w:gridSpan w:val="1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55ED71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Стратегічна ціль. Різні суспільні групи користуються рівними правами та можливостями для залучення в процес ухвалення рішень та громадської участі</w:t>
            </w:r>
          </w:p>
        </w:tc>
      </w:tr>
      <w:tr w:rsidR="00793D13" w:rsidRPr="0032095D" w14:paraId="0EFD9ECD" w14:textId="77777777" w:rsidTr="00793D1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A54A93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2AA352" w14:textId="0AEC1B85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624C">
              <w:rPr>
                <w:rFonts w:ascii="Times New Roman" w:hAnsi="Times New Roman" w:cs="Times New Roman"/>
              </w:rPr>
              <w:t>Частка населення, яке залучене до рухової активності (за віком, статтю, типом місцевості)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C86A49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 xml:space="preserve">відсотків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A26923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A80582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E822FE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936827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0F8000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AE660E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8DE9B3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4B3DD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9105D9" w14:textId="14A56544" w:rsidR="00793D13" w:rsidRPr="0032095D" w:rsidRDefault="00AA624C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624C">
              <w:rPr>
                <w:rFonts w:ascii="Times New Roman" w:hAnsi="Times New Roman" w:cs="Times New Roman"/>
              </w:rPr>
              <w:t xml:space="preserve">Відділ </w:t>
            </w:r>
            <w:r w:rsidRPr="00210AE3">
              <w:rPr>
                <w:rFonts w:ascii="Times New Roman" w:hAnsi="Times New Roman" w:cs="Times New Roman"/>
              </w:rPr>
              <w:t>освіти, культури, молоді, спорту, туризму та охорони культурної спадщини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9A495F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 xml:space="preserve">Подається цифра, що відображає частку населення від загальної кількості населення, яке залучене до рухової активності. </w:t>
            </w:r>
            <w:r w:rsidRPr="0032095D">
              <w:rPr>
                <w:rFonts w:ascii="Times New Roman" w:hAnsi="Times New Roman" w:cs="Times New Roman"/>
              </w:rPr>
              <w:br/>
              <w:t xml:space="preserve">Показник подається з дезагрегованими даними за статтю (чоловіки/жінки), за віком ( 18-24, 25 - 45, 46-65, 66+), за типом населеного пункту (міська чи сільська місцевість).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lastRenderedPageBreak/>
              <w:t xml:space="preserve">Показник вимірюється і подається щорічно. </w:t>
            </w:r>
          </w:p>
        </w:tc>
      </w:tr>
      <w:tr w:rsidR="00793D13" w:rsidRPr="0032095D" w14:paraId="3D6DA657" w14:textId="77777777" w:rsidTr="00793D1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C1D76B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>62.</w:t>
            </w:r>
          </w:p>
        </w:tc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71FF82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Кількість осіб з числа молоді, які залучені до роботи молодіжних центрів/просторів з метою впровадження практик та механізмів соціальної та громадської участі, зокрема щодо забезпечення безбар’єрності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63FDB0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осіб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080C27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6E505" w14:textId="1EE86FAC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4CDB24" w14:textId="5610CF5B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7FC453" w14:textId="5DEFC6E6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9B9299" w14:textId="52AE5486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53C788" w14:textId="04ED72E6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A7EFA" w14:textId="245D8958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861D1B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1757F2" w14:textId="52B7C816" w:rsidR="00793D13" w:rsidRPr="0032095D" w:rsidRDefault="00E410DA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освіти, культури, молоді, спорту, туризму та охор</w:t>
            </w:r>
            <w:r w:rsidR="009D2F9C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ни культурної </w:t>
            </w:r>
            <w:r w:rsidR="009D2F9C">
              <w:rPr>
                <w:rFonts w:ascii="Times New Roman" w:hAnsi="Times New Roman" w:cs="Times New Roman"/>
              </w:rPr>
              <w:t>спадщини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95AF2A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 xml:space="preserve">Подається цифра, що відображає кількість молоді, залученої до роботи молодіжних центрів/просторів з метою впровадження практик та механізмів соціальної та громадянської участі, зокрема щодо забезпечення безбар’єрності. </w:t>
            </w:r>
            <w:r w:rsidRPr="0032095D">
              <w:rPr>
                <w:rFonts w:ascii="Times New Roman" w:hAnsi="Times New Roman" w:cs="Times New Roman"/>
              </w:rPr>
              <w:br/>
              <w:t xml:space="preserve">Показник вимірюється і подається щорічно. </w:t>
            </w:r>
          </w:p>
        </w:tc>
      </w:tr>
      <w:tr w:rsidR="00793D13" w:rsidRPr="0032095D" w14:paraId="3000CE8E" w14:textId="77777777" w:rsidTr="00793D1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932768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5B856A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Кількість осіб з інвалідністю та внутрішньо переміщених осіб, залучених до громадського та політичного життя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1A1C09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осіб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B247A8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73CF53" w14:textId="336AB9C1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E56E14" w14:textId="2064F13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BCE7AE" w14:textId="5B868520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10E624" w14:textId="52ADF4AA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59A415" w14:textId="76900801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F88B88" w14:textId="0E8FFDEF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0D81FA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4015AF" w14:textId="06D11F1D" w:rsidR="00793D13" w:rsidRPr="0032095D" w:rsidRDefault="009D2F9C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 «Центр надання соціальних послуг»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8CA773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 xml:space="preserve">Подається цифра, що відображає кількість молоді, залученої до громадянського та політичного життя, в тому числі осіб з інвалідністю та внутрішньо переміщених осіб. </w:t>
            </w:r>
            <w:r w:rsidRPr="0032095D">
              <w:rPr>
                <w:rFonts w:ascii="Times New Roman" w:hAnsi="Times New Roman" w:cs="Times New Roman"/>
              </w:rPr>
              <w:br/>
              <w:t xml:space="preserve">Показник вимірюється і подається щорічно. </w:t>
            </w:r>
          </w:p>
        </w:tc>
      </w:tr>
      <w:tr w:rsidR="00793D13" w:rsidRPr="0032095D" w14:paraId="7FAE3E75" w14:textId="77777777" w:rsidTr="00793D13">
        <w:trPr>
          <w:trHeight w:val="315"/>
        </w:trPr>
        <w:tc>
          <w:tcPr>
            <w:tcW w:w="15122" w:type="dxa"/>
            <w:gridSpan w:val="1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00E718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Стратегічна ціль. Кожна людина має доступ до розвинутої системи громадського здоровʼя, включаючи послуги в сфері фізичної культури та спорту</w:t>
            </w:r>
          </w:p>
        </w:tc>
      </w:tr>
      <w:tr w:rsidR="00793D13" w:rsidRPr="0032095D" w14:paraId="3639332A" w14:textId="77777777" w:rsidTr="004C1084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9F1E4A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>86.</w:t>
            </w:r>
          </w:p>
        </w:tc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59EC9A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Кількість сімей, які отримали послугу раннього втручання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D6A31F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 xml:space="preserve">одиниць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3C8134" w14:textId="09FAA950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35706C" w14:textId="18C038CA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26B27A" w14:textId="7D283F35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99EAF4" w14:textId="0A099957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D77D6A" w14:textId="64771B7B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F31F21" w14:textId="10845723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FE03BE" w14:textId="328B213D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E23FD4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B77D82" w14:textId="0F2EA7FF" w:rsidR="00793D13" w:rsidRPr="0032095D" w:rsidRDefault="009D2F9C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КНП «</w:t>
            </w:r>
            <w:proofErr w:type="spellStart"/>
            <w:r>
              <w:rPr>
                <w:rFonts w:ascii="Times New Roman" w:hAnsi="Times New Roman" w:cs="Times New Roman"/>
              </w:rPr>
              <w:t>Журавнівська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міська лікарня»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56C7BB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 xml:space="preserve">Подається цифра, що відображає кількість договорів укладених з НСЗУ за пакетами медичних послуг з раннього втручання. </w:t>
            </w:r>
          </w:p>
        </w:tc>
      </w:tr>
      <w:tr w:rsidR="00793D13" w:rsidRPr="0032095D" w14:paraId="23D3A417" w14:textId="77777777" w:rsidTr="00793D13">
        <w:trPr>
          <w:trHeight w:val="315"/>
        </w:trPr>
        <w:tc>
          <w:tcPr>
            <w:tcW w:w="15122" w:type="dxa"/>
            <w:gridSpan w:val="1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6CB11E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Стратегічна ціль. Держава сприяє підвищенню рівня захисту прав жінок та чоловіків, хлопчиків та дівчат, зокрема осіб з інвалідністю</w:t>
            </w:r>
          </w:p>
        </w:tc>
      </w:tr>
      <w:tr w:rsidR="00793D13" w:rsidRPr="0032095D" w14:paraId="0FB6DAB7" w14:textId="77777777" w:rsidTr="00793D1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E6FCF9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83A2A9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Частка осіб, постраждалих від домашнього насильства та/або насильства за ознакою статі, які скористались послугою надання притулку, від загальної кількості постраждалих, які потребували такої послуги (відповідно до оцінки потреб)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04352A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відсотків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786B32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B515F7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184C12" w14:textId="1E86E340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2B0FE1" w14:textId="37C8C9AB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0CED33" w14:textId="2CED8089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F49BC9" w14:textId="2E68D253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095B31" w14:textId="065989BB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FC334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48FC46" w14:textId="0B334395" w:rsidR="00793D13" w:rsidRPr="0032095D" w:rsidRDefault="009D2F9C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D2F9C">
              <w:rPr>
                <w:rFonts w:ascii="Times New Roman" w:hAnsi="Times New Roman" w:cs="Times New Roman"/>
              </w:rPr>
              <w:t>КУ «Центр надання соціальних послуг»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02C11B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Подається цифра, що відображає частку осіб, постраждалих від домашнього насильства та/або насильства за ознакою статі, які скористались послугою надання притулку від загальної кількості постраждалих.</w:t>
            </w:r>
          </w:p>
        </w:tc>
      </w:tr>
      <w:tr w:rsidR="00793D13" w:rsidRPr="0032095D" w14:paraId="68B9B77C" w14:textId="77777777" w:rsidTr="00793D13">
        <w:trPr>
          <w:trHeight w:val="315"/>
        </w:trPr>
        <w:tc>
          <w:tcPr>
            <w:tcW w:w="15122" w:type="dxa"/>
            <w:gridSpan w:val="1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F150E8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Стратегічна ціль. Територіальні громади впроваджують заходи безбарʼєрності та посилюють свою спроможність</w:t>
            </w:r>
          </w:p>
        </w:tc>
      </w:tr>
      <w:tr w:rsidR="00793D13" w:rsidRPr="0032095D" w14:paraId="23A1F31E" w14:textId="77777777" w:rsidTr="00793D1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C0FCC5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ADDA8D" w14:textId="513F9A48" w:rsidR="00793D13" w:rsidRPr="00AA624C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624C">
              <w:rPr>
                <w:rFonts w:ascii="Times New Roman" w:hAnsi="Times New Roman" w:cs="Times New Roman"/>
              </w:rPr>
              <w:t xml:space="preserve">Рівень представленості осіб з обмеженнями повсякденного функціонування у колегіальних </w:t>
            </w:r>
            <w:r w:rsidRPr="00AA624C">
              <w:rPr>
                <w:rFonts w:ascii="Times New Roman" w:hAnsi="Times New Roman" w:cs="Times New Roman"/>
              </w:rPr>
              <w:lastRenderedPageBreak/>
              <w:t>органах (за статтю, віком)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A6038E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>відсотків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E31822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21AE01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1D28DE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59196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9EDF2B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E42686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A6BB78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72CDCC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4DF7D4" w14:textId="144586A5" w:rsidR="00793D13" w:rsidRPr="0032095D" w:rsidRDefault="00A8324A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D2F9C">
              <w:rPr>
                <w:rFonts w:ascii="Times New Roman" w:hAnsi="Times New Roman" w:cs="Times New Roman"/>
              </w:rPr>
              <w:t>КУ «Центр надання соціальних послуг»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296F5B" w14:textId="057BADF2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 xml:space="preserve">Подається цифра, що відображає частку осіб з інвалідністю та осіб, які представляють інтереси осіб з інвалідінстю, від загальної кількості осіб представлених у </w:t>
            </w:r>
            <w:r w:rsidRPr="0032095D">
              <w:rPr>
                <w:rFonts w:ascii="Times New Roman" w:hAnsi="Times New Roman" w:cs="Times New Roman"/>
              </w:rPr>
              <w:lastRenderedPageBreak/>
              <w:t xml:space="preserve">колегіальних органах.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br/>
              <w:t xml:space="preserve">До показника включаються дані щодо складу: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міських, селищних та сільських рад;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місцевих рад безбар’єрності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комітетах доступності осіб з інвалідінстю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sym w:font="Symbol" w:char="F02D"/>
            </w:r>
            <w:r w:rsidRPr="0032095D">
              <w:rPr>
                <w:rFonts w:ascii="Times New Roman" w:hAnsi="Times New Roman" w:cs="Times New Roman"/>
              </w:rPr>
              <w:t xml:space="preserve"> інших консультативно-дорадчих органів, на яких покладено функцію розгляду питань безбар’єрності.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br/>
              <w:t xml:space="preserve">Рекомендовано, показник подавати з дезагрогованими даними за статтю (із загальної кількості зазначається кількість чоловіків і жінок), за віком (18-24, 25 - 45, 46-65, 66+). </w:t>
            </w:r>
          </w:p>
        </w:tc>
      </w:tr>
      <w:tr w:rsidR="00793D13" w:rsidRPr="0032095D" w14:paraId="5640DEF1" w14:textId="77777777" w:rsidTr="00793D13">
        <w:trPr>
          <w:trHeight w:val="315"/>
        </w:trPr>
        <w:tc>
          <w:tcPr>
            <w:tcW w:w="15122" w:type="dxa"/>
            <w:gridSpan w:val="1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F87F85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>Напрям 5. Освітня безбар’єрність</w:t>
            </w:r>
          </w:p>
        </w:tc>
      </w:tr>
      <w:tr w:rsidR="00793D13" w:rsidRPr="0032095D" w14:paraId="006C4B1B" w14:textId="77777777" w:rsidTr="00793D13">
        <w:trPr>
          <w:trHeight w:val="315"/>
        </w:trPr>
        <w:tc>
          <w:tcPr>
            <w:tcW w:w="15122" w:type="dxa"/>
            <w:gridSpan w:val="1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B5A449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Стратегічна ціль. Кожна людина має можливість розкрити свій потенціал та отримати професію завдяки інклюзивній освіті</w:t>
            </w:r>
          </w:p>
        </w:tc>
      </w:tr>
      <w:tr w:rsidR="00793D13" w:rsidRPr="0032095D" w14:paraId="28747B82" w14:textId="77777777" w:rsidTr="00793D1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8A0254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>94.</w:t>
            </w:r>
          </w:p>
        </w:tc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884136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Частка осіб з особливими освітніми потребами, які здобувають освіту в спеціальних класах (за віком, статтю, регіоном)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3A7AC0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відсотків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83F231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EEFE7F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A60690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566D2C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706E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C1A484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11D71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634873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DF39CB" w14:textId="592E1FB3" w:rsidR="00793D13" w:rsidRPr="0032095D" w:rsidRDefault="009D2F9C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D2F9C">
              <w:rPr>
                <w:rFonts w:ascii="Times New Roman" w:hAnsi="Times New Roman" w:cs="Times New Roman"/>
              </w:rPr>
              <w:t>Відділ освіти, культури, молоді, спорту, туризму та охорони культурної спадщини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B90EAA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Подається цифра, що відображає відсоток осіб з особливими освітніми потребами, які здобувають освіту в спеціальних класах. Показник подається з дезагрогованими даними за статтю (із загальної кількості зазначається кількість хлопчиків і дівчаток), за віком (6-10, 11-15, 16-18), а також за регіонами (адміністративно-територіальних одиниць: області та місто Київ).</w:t>
            </w:r>
          </w:p>
        </w:tc>
      </w:tr>
      <w:tr w:rsidR="00793D13" w:rsidRPr="0032095D" w14:paraId="0578C0F8" w14:textId="77777777" w:rsidTr="00793D1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B2E57F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1B069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Частка осіб з особливими освітніми потребами, які здобувають освіту в інклюзивних класах (за віком, статтю, регіоном)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D987D5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відсотків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3CC535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663908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A692E9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5EFEE2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652940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EC4D8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67D0C5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C0F867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062AF0" w14:textId="68EC7EAC" w:rsidR="00793D13" w:rsidRPr="0032095D" w:rsidRDefault="009D2F9C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D2F9C">
              <w:rPr>
                <w:rFonts w:ascii="Times New Roman" w:hAnsi="Times New Roman" w:cs="Times New Roman"/>
              </w:rPr>
              <w:t>Відділ освіти, культури, молоді, спорту, туризму та охорони культурної спадщини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A9F06A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 xml:space="preserve">Подається цифра, що відображає відсоток осіб з особливими освітніми потребами, які здобувають освіту в інклюзивних класах. Показник подається з дезагрогованими даними за статтю (із загальної кількості зазначається кількість хлопчиків і дівчаток), за віком (6-10, 11-15, 16-18), а також за </w:t>
            </w:r>
            <w:r w:rsidRPr="0032095D">
              <w:rPr>
                <w:rFonts w:ascii="Times New Roman" w:hAnsi="Times New Roman" w:cs="Times New Roman"/>
              </w:rPr>
              <w:lastRenderedPageBreak/>
              <w:t xml:space="preserve">регіонами (адміністративно-територіальних одиниць: області та місто Київ). </w:t>
            </w:r>
          </w:p>
        </w:tc>
      </w:tr>
      <w:tr w:rsidR="00793D13" w:rsidRPr="0032095D" w14:paraId="34BC5B1A" w14:textId="77777777" w:rsidTr="00793D1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8F8EE3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>96.</w:t>
            </w:r>
          </w:p>
        </w:tc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695510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Частка осіб з особливими освітніми потребами, які здобувають освіту за формою педагогічного патронажу (за віком, статтю, регіоном)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F0FBEF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відсотків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FDF7B5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14CC92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F8D382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D6ED3B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57C374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F21CDF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A67C9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7C5C83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F60D44" w14:textId="5D75D95B" w:rsidR="00793D13" w:rsidRPr="0032095D" w:rsidRDefault="009D2F9C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D2F9C">
              <w:rPr>
                <w:rFonts w:ascii="Times New Roman" w:hAnsi="Times New Roman" w:cs="Times New Roman"/>
              </w:rPr>
              <w:t>Відділ освіти, культури, молоді, спорту, туризму та охорони культурної спадщини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67D754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 xml:space="preserve">Подається цифра, що відображає частку осіб з особливими освітніми потребами, які здобувають освіту на педагогічному патронажі. Показник подається з дезагрогованими даними за статтю (із загальної кількості зазначається кількість хлопчиків і дівчаток), за віком (6-10, 11-15, 16-18), а також за регіонами (адміністративно-територіальних одиниць: області та місто Київ). </w:t>
            </w:r>
          </w:p>
        </w:tc>
      </w:tr>
      <w:tr w:rsidR="00793D13" w:rsidRPr="0032095D" w14:paraId="7DF15D67" w14:textId="77777777" w:rsidTr="00793D1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2323EA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25A871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 xml:space="preserve">Кількість осіб з особливими освітніми потребами серед випускників закладів загальної середньої освіти, </w:t>
            </w:r>
            <w:r w:rsidRPr="0032095D">
              <w:rPr>
                <w:rFonts w:ascii="Times New Roman" w:hAnsi="Times New Roman" w:cs="Times New Roman"/>
              </w:rPr>
              <w:lastRenderedPageBreak/>
              <w:t>що вступили до закладів професійної (професійно-технічної) освіти або закладів вищої освіти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BBC821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>одиниць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F93BA2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717EAE" w14:textId="100EA3C9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15D3CB" w14:textId="2F86DA71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6AF2E1" w14:textId="18B61977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F47D61" w14:textId="22EC7224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7AAB55" w14:textId="6DB4B1DE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0BC573" w14:textId="5FE6E09F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2</w:t>
            </w:r>
            <w:r w:rsidR="004C10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A2CA5C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39EF62" w14:textId="53049DAB" w:rsidR="00793D13" w:rsidRPr="0032095D" w:rsidRDefault="009D2F9C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D2F9C">
              <w:rPr>
                <w:rFonts w:ascii="Times New Roman" w:hAnsi="Times New Roman" w:cs="Times New Roman"/>
              </w:rPr>
              <w:t>Відділ освіти, культури, молоді, спорту, туризму та охорони культурної спадщини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A152C7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 xml:space="preserve">Подається цифра, що відображає кількість осіб, з особливими освітніми потребами, серед випускників закладів середньої освіти, що вступили до </w:t>
            </w:r>
            <w:r w:rsidRPr="0032095D">
              <w:rPr>
                <w:rFonts w:ascii="Times New Roman" w:hAnsi="Times New Roman" w:cs="Times New Roman"/>
              </w:rPr>
              <w:lastRenderedPageBreak/>
              <w:t xml:space="preserve">державних професійно-технічних закладів освіти або закладів вищої освіти. </w:t>
            </w:r>
          </w:p>
        </w:tc>
      </w:tr>
      <w:tr w:rsidR="00793D13" w:rsidRPr="0032095D" w14:paraId="5D2F1DC5" w14:textId="77777777" w:rsidTr="00793D1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9932B4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>103.</w:t>
            </w:r>
          </w:p>
        </w:tc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AE7A7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Частка дітей з особливими освітніми потребами, які здобувають освіту в інклюзивних групах дошкільної освіти (за віком, статтю, регіоном)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D5B75A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відсотків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E7CEB1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F10B5B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4D7E98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FE7391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A486A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F5E36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5DFC67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A903DC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60648" w14:textId="7FBF5A04" w:rsidR="00793D13" w:rsidRPr="0032095D" w:rsidRDefault="009D2F9C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D2F9C">
              <w:rPr>
                <w:rFonts w:ascii="Times New Roman" w:hAnsi="Times New Roman" w:cs="Times New Roman"/>
              </w:rPr>
              <w:t>Відділ освіти, культури, молоді, спорту, туризму та охорони культурної спадщини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2BDFA1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Подається цифра, що відображає частку від загальної кількості дітей з особливими освітніми потребами, які здобувають освіту в інклюзивних групах дошкільної освіти. Показник подається з дезагрогованими даними за статтю (із загальної кількості зазначається кількість хлопчиків та дівчаток) та за віком ( 0-6). Тобто цей показник має містити дані за 3 значеннями (2 за статтю і 1 за віковою групою).</w:t>
            </w:r>
          </w:p>
        </w:tc>
      </w:tr>
      <w:tr w:rsidR="00793D13" w:rsidRPr="0032095D" w14:paraId="63D415FC" w14:textId="77777777" w:rsidTr="00793D13">
        <w:trPr>
          <w:trHeight w:val="315"/>
        </w:trPr>
        <w:tc>
          <w:tcPr>
            <w:tcW w:w="15122" w:type="dxa"/>
            <w:gridSpan w:val="1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3E51C8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Стратегічна ціль. Дистанційна форма здобуття освіти доступна для всіх суспільних груп</w:t>
            </w:r>
          </w:p>
        </w:tc>
      </w:tr>
      <w:tr w:rsidR="00793D13" w:rsidRPr="0032095D" w14:paraId="1E2D5742" w14:textId="77777777" w:rsidTr="00793D1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5C4474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BB032A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 xml:space="preserve">Частка здобувачів освіти, що не мають доступу до цифрових </w:t>
            </w:r>
            <w:r w:rsidRPr="0032095D">
              <w:rPr>
                <w:rFonts w:ascii="Times New Roman" w:hAnsi="Times New Roman" w:cs="Times New Roman"/>
              </w:rPr>
              <w:lastRenderedPageBreak/>
              <w:t>пристроїв для дистанційного навчання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7520C0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>відсотків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762BF5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813769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379614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855C6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378F4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813E4F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404585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B80404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7EDB4D" w14:textId="07ADECFD" w:rsidR="00793D13" w:rsidRPr="0032095D" w:rsidRDefault="009D2F9C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D2F9C">
              <w:rPr>
                <w:rFonts w:ascii="Times New Roman" w:hAnsi="Times New Roman" w:cs="Times New Roman"/>
              </w:rPr>
              <w:t xml:space="preserve">Відділ освіти, культури, молоді, спорту, туризму та охорони </w:t>
            </w:r>
            <w:r w:rsidRPr="009D2F9C">
              <w:rPr>
                <w:rFonts w:ascii="Times New Roman" w:hAnsi="Times New Roman" w:cs="Times New Roman"/>
              </w:rPr>
              <w:lastRenderedPageBreak/>
              <w:t>культурної спадщини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B00E9D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 xml:space="preserve">Подається цифра, що відображає частку здобувачів освіти, що не мають доступу до </w:t>
            </w:r>
            <w:r w:rsidRPr="0032095D">
              <w:rPr>
                <w:rFonts w:ascii="Times New Roman" w:hAnsi="Times New Roman" w:cs="Times New Roman"/>
              </w:rPr>
              <w:lastRenderedPageBreak/>
              <w:t>цифрових пристроїв для дистанційного навчання, від загальної кількості здобувачів освіти.</w:t>
            </w:r>
          </w:p>
        </w:tc>
      </w:tr>
      <w:tr w:rsidR="00793D13" w:rsidRPr="0032095D" w14:paraId="6157B4E3" w14:textId="77777777" w:rsidTr="00793D13">
        <w:trPr>
          <w:trHeight w:val="315"/>
        </w:trPr>
        <w:tc>
          <w:tcPr>
            <w:tcW w:w="15122" w:type="dxa"/>
            <w:gridSpan w:val="1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79379F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>Напрям 6. Економічна безбар’єрність</w:t>
            </w:r>
          </w:p>
        </w:tc>
      </w:tr>
      <w:tr w:rsidR="00793D13" w:rsidRPr="0032095D" w14:paraId="6D2375DB" w14:textId="77777777" w:rsidTr="00793D13">
        <w:trPr>
          <w:trHeight w:val="315"/>
        </w:trPr>
        <w:tc>
          <w:tcPr>
            <w:tcW w:w="15122" w:type="dxa"/>
            <w:gridSpan w:val="1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C35868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Стратегічна ціль. Кожній людині доступне провадження підприємницької діяльності та забезпечення самозайнятості</w:t>
            </w:r>
          </w:p>
        </w:tc>
      </w:tr>
      <w:tr w:rsidR="00793D13" w:rsidRPr="0032095D" w14:paraId="27434DEC" w14:textId="77777777" w:rsidTr="00793D1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6D37F1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07C2E2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324A">
              <w:rPr>
                <w:rFonts w:ascii="Times New Roman" w:hAnsi="Times New Roman" w:cs="Times New Roman"/>
              </w:rPr>
              <w:t>Частка працевлаштованих ветеранів за бюджетними програмами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CC49FE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відсотків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3F72B7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2076FF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820E65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6F2483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D89E0B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33C790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7BC8A9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CDE412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B356DD" w14:textId="1B96ED96" w:rsidR="00793D13" w:rsidRPr="0032095D" w:rsidRDefault="00A8324A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D2F9C">
              <w:rPr>
                <w:rFonts w:ascii="Times New Roman" w:hAnsi="Times New Roman" w:cs="Times New Roman"/>
              </w:rPr>
              <w:t>КУ «Центр надання соціальних послуг»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182B55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 xml:space="preserve">Подається цифра, що відображає частку працевлаштованих ветеранів за бюджетними програмами, від загальної чисельності зареєстрованих безробітних ветеранів. </w:t>
            </w:r>
            <w:r w:rsidRPr="0032095D">
              <w:rPr>
                <w:rFonts w:ascii="Times New Roman" w:hAnsi="Times New Roman" w:cs="Times New Roman"/>
              </w:rPr>
              <w:br/>
            </w:r>
            <w:r w:rsidRPr="0032095D">
              <w:rPr>
                <w:rFonts w:ascii="Times New Roman" w:hAnsi="Times New Roman" w:cs="Times New Roman"/>
              </w:rPr>
              <w:br/>
              <w:t xml:space="preserve">До показника враховуються данні щодо надання грантів на створенні власної справи. </w:t>
            </w:r>
          </w:p>
        </w:tc>
      </w:tr>
      <w:tr w:rsidR="00793D13" w:rsidRPr="0032095D" w14:paraId="17622D08" w14:textId="77777777" w:rsidTr="00793D13">
        <w:trPr>
          <w:trHeight w:val="315"/>
        </w:trPr>
        <w:tc>
          <w:tcPr>
            <w:tcW w:w="15122" w:type="dxa"/>
            <w:gridSpan w:val="1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111BBE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Стратегічна ціль. Кожна людина незалежно від віку, статі, сімейного стану чи стану здоров’я має доступ до працевлаштування та можливості для роботи</w:t>
            </w:r>
          </w:p>
        </w:tc>
      </w:tr>
      <w:tr w:rsidR="00793D13" w:rsidRPr="0032095D" w14:paraId="631C6E51" w14:textId="77777777" w:rsidTr="004C1084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6639B0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BFEE1A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 xml:space="preserve">Кількість місцевих програм для провадження підприємницької </w:t>
            </w:r>
            <w:r w:rsidRPr="0032095D">
              <w:rPr>
                <w:rFonts w:ascii="Times New Roman" w:hAnsi="Times New Roman" w:cs="Times New Roman"/>
              </w:rPr>
              <w:lastRenderedPageBreak/>
              <w:t>діяльності (за регіоном)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1E3B21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>одиниць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CF391A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CE8BA9" w14:textId="48D61E1A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D0BDEC" w14:textId="05F684CF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12ACF3" w14:textId="5D51B956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81B22F" w14:textId="234004AA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9D68A0" w14:textId="69FFC13A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C39AC5" w14:textId="13A4B540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152678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71BE8F" w14:textId="65CEF5FD" w:rsidR="00793D13" w:rsidRPr="0032095D" w:rsidRDefault="00A8324A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D2F9C">
              <w:rPr>
                <w:rFonts w:ascii="Times New Roman" w:hAnsi="Times New Roman" w:cs="Times New Roman"/>
              </w:rPr>
              <w:t xml:space="preserve">Відділ комунальної інфраструктури, житлово-комунального </w:t>
            </w:r>
            <w:r w:rsidRPr="009D2F9C">
              <w:rPr>
                <w:rFonts w:ascii="Times New Roman" w:hAnsi="Times New Roman" w:cs="Times New Roman"/>
              </w:rPr>
              <w:lastRenderedPageBreak/>
              <w:t>господарства, інвестицій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A83C41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 xml:space="preserve">Подається цифра, що відображає загальну кількість місцевих програм для провадження підприємницької </w:t>
            </w:r>
            <w:r w:rsidRPr="0032095D">
              <w:rPr>
                <w:rFonts w:ascii="Times New Roman" w:hAnsi="Times New Roman" w:cs="Times New Roman"/>
              </w:rPr>
              <w:lastRenderedPageBreak/>
              <w:t>діяльності у відповідній області, включаючи програми як обласні так і територіальних громад.</w:t>
            </w:r>
          </w:p>
        </w:tc>
      </w:tr>
      <w:tr w:rsidR="00793D13" w:rsidRPr="0032095D" w14:paraId="4BB6EF57" w14:textId="77777777" w:rsidTr="004C1084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C0F80F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lastRenderedPageBreak/>
              <w:t>122.</w:t>
            </w:r>
          </w:p>
        </w:tc>
        <w:tc>
          <w:tcPr>
            <w:tcW w:w="2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F9411A" w14:textId="7AAB582E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Кількість суб’єктів господарюванн</w:t>
            </w:r>
            <w:r w:rsidR="008E7894" w:rsidRPr="0032095D">
              <w:rPr>
                <w:rFonts w:ascii="Times New Roman" w:hAnsi="Times New Roman" w:cs="Times New Roman"/>
              </w:rPr>
              <w:t>я</w:t>
            </w:r>
            <w:r w:rsidRPr="0032095D">
              <w:rPr>
                <w:rFonts w:ascii="Times New Roman" w:hAnsi="Times New Roman" w:cs="Times New Roman"/>
              </w:rPr>
              <w:t>, які отримали підтримку в рамках місцевих програм провадження підприємницької діяльності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433A44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одиниць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1F28E8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711CD5" w14:textId="412A0E2D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6BD4F8" w14:textId="02007A68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D613C6" w14:textId="1A010084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C15911" w14:textId="70D252AC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829540" w14:textId="41ACB483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A49B4F" w14:textId="253EF56B" w:rsidR="00793D13" w:rsidRPr="0032095D" w:rsidRDefault="004C1084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E6DE46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E9DC39" w14:textId="051499C4" w:rsidR="00793D13" w:rsidRPr="0032095D" w:rsidRDefault="009D2F9C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D2F9C">
              <w:rPr>
                <w:rFonts w:ascii="Times New Roman" w:hAnsi="Times New Roman" w:cs="Times New Roman"/>
              </w:rPr>
              <w:t>Відділ комунальної інфраструктури, житлово-комунального господарства, інвестицій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B26AC6" w14:textId="77777777" w:rsidR="00793D13" w:rsidRPr="0032095D" w:rsidRDefault="00793D13" w:rsidP="00E26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Подається цифра, що відображає кількість суб'єктів господарювання, які отримали підтримку в рамках місцевих програм провадження підприємницької діяльності, включаючи програми як обласні так і територіальних громад.</w:t>
            </w:r>
          </w:p>
        </w:tc>
      </w:tr>
    </w:tbl>
    <w:p w14:paraId="2DF6EF8F" w14:textId="2986FF6C" w:rsidR="00793D13" w:rsidRPr="00A72B3D" w:rsidRDefault="00D73421" w:rsidP="00E260DA">
      <w:pPr>
        <w:spacing w:line="240" w:lineRule="auto"/>
        <w:jc w:val="center"/>
        <w:rPr>
          <w:rFonts w:ascii="Times New Roman" w:hAnsi="Times New Roman" w:cs="Times New Roman"/>
        </w:rPr>
      </w:pPr>
      <w:r w:rsidRPr="0032095D">
        <w:rPr>
          <w:rFonts w:ascii="Times New Roman" w:hAnsi="Times New Roman" w:cs="Times New Roman"/>
        </w:rPr>
        <w:t>____________________________________________________________________________________</w:t>
      </w:r>
    </w:p>
    <w:sectPr w:rsidR="00793D13" w:rsidRPr="00A72B3D" w:rsidSect="005419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D70DF" w14:textId="77777777" w:rsidR="00291E6E" w:rsidRDefault="00291E6E" w:rsidP="00D73421">
      <w:pPr>
        <w:spacing w:after="0" w:line="240" w:lineRule="auto"/>
      </w:pPr>
      <w:r>
        <w:separator/>
      </w:r>
    </w:p>
  </w:endnote>
  <w:endnote w:type="continuationSeparator" w:id="0">
    <w:p w14:paraId="37BD2D49" w14:textId="77777777" w:rsidR="00291E6E" w:rsidRDefault="00291E6E" w:rsidP="00D7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13F99" w14:textId="77777777" w:rsidR="00E410DA" w:rsidRDefault="00E410D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6CE49" w14:textId="77777777" w:rsidR="00E410DA" w:rsidRDefault="00E410D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F0B39" w14:textId="77777777" w:rsidR="00E410DA" w:rsidRDefault="00E410D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08A0A" w14:textId="77777777" w:rsidR="00291E6E" w:rsidRDefault="00291E6E" w:rsidP="00D73421">
      <w:pPr>
        <w:spacing w:after="0" w:line="240" w:lineRule="auto"/>
      </w:pPr>
      <w:r>
        <w:separator/>
      </w:r>
    </w:p>
  </w:footnote>
  <w:footnote w:type="continuationSeparator" w:id="0">
    <w:p w14:paraId="086A71C8" w14:textId="77777777" w:rsidR="00291E6E" w:rsidRDefault="00291E6E" w:rsidP="00D73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86699" w14:textId="77777777" w:rsidR="00E410DA" w:rsidRDefault="00E410D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9833B" w14:textId="3349A0E3" w:rsidR="00E410DA" w:rsidRPr="00D73421" w:rsidRDefault="00E410DA" w:rsidP="00D73421">
    <w:pPr>
      <w:pStyle w:val="ac"/>
      <w:tabs>
        <w:tab w:val="center" w:pos="7569"/>
        <w:tab w:val="left" w:pos="9120"/>
      </w:tabs>
      <w:rPr>
        <w:rFonts w:ascii="Times New Roman" w:hAnsi="Times New Roman" w:cs="Times New Roman"/>
      </w:rPr>
    </w:pPr>
    <w:r>
      <w:tab/>
    </w:r>
    <w:r w:rsidRPr="00D73421"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1853066598"/>
        <w:docPartObj>
          <w:docPartGallery w:val="Page Numbers (Top of Page)"/>
          <w:docPartUnique/>
        </w:docPartObj>
      </w:sdtPr>
      <w:sdtEndPr/>
      <w:sdtContent>
        <w:r w:rsidRPr="0032095D">
          <w:rPr>
            <w:rFonts w:ascii="Times New Roman" w:hAnsi="Times New Roman" w:cs="Times New Roman"/>
          </w:rPr>
          <w:fldChar w:fldCharType="begin"/>
        </w:r>
        <w:r w:rsidRPr="0032095D">
          <w:rPr>
            <w:rFonts w:ascii="Times New Roman" w:hAnsi="Times New Roman" w:cs="Times New Roman"/>
          </w:rPr>
          <w:instrText>PAGE   \* MERGEFORMAT</w:instrText>
        </w:r>
        <w:r w:rsidRPr="0032095D">
          <w:rPr>
            <w:rFonts w:ascii="Times New Roman" w:hAnsi="Times New Roman" w:cs="Times New Roman"/>
          </w:rPr>
          <w:fldChar w:fldCharType="separate"/>
        </w:r>
        <w:r w:rsidR="004C5043">
          <w:rPr>
            <w:rFonts w:ascii="Times New Roman" w:hAnsi="Times New Roman" w:cs="Times New Roman"/>
            <w:noProof/>
          </w:rPr>
          <w:t>22</w:t>
        </w:r>
        <w:r w:rsidRPr="0032095D">
          <w:rPr>
            <w:rFonts w:ascii="Times New Roman" w:hAnsi="Times New Roman" w:cs="Times New Roman"/>
          </w:rPr>
          <w:fldChar w:fldCharType="end"/>
        </w:r>
      </w:sdtContent>
    </w:sdt>
    <w:r w:rsidRPr="0032095D">
      <w:rPr>
        <w:rFonts w:ascii="Times New Roman" w:hAnsi="Times New Roman" w:cs="Times New Roman"/>
      </w:rPr>
      <w:tab/>
      <w:t>Продовження додатка 2</w:t>
    </w:r>
  </w:p>
  <w:p w14:paraId="2B68EC36" w14:textId="77777777" w:rsidR="00E410DA" w:rsidRDefault="00E410D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5DDD" w14:textId="77777777" w:rsidR="00E410DA" w:rsidRDefault="00E410D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4B"/>
    <w:rsid w:val="000263D5"/>
    <w:rsid w:val="00132812"/>
    <w:rsid w:val="001754F9"/>
    <w:rsid w:val="00177A2C"/>
    <w:rsid w:val="00185852"/>
    <w:rsid w:val="001C0F93"/>
    <w:rsid w:val="001F6BB8"/>
    <w:rsid w:val="00291E6E"/>
    <w:rsid w:val="002F4626"/>
    <w:rsid w:val="0032095D"/>
    <w:rsid w:val="00337F12"/>
    <w:rsid w:val="00445B17"/>
    <w:rsid w:val="004C1084"/>
    <w:rsid w:val="004C5043"/>
    <w:rsid w:val="005419EF"/>
    <w:rsid w:val="00677FE0"/>
    <w:rsid w:val="00793D13"/>
    <w:rsid w:val="008E7894"/>
    <w:rsid w:val="009B6611"/>
    <w:rsid w:val="009D2F9C"/>
    <w:rsid w:val="00A72B3D"/>
    <w:rsid w:val="00A8324A"/>
    <w:rsid w:val="00AA624C"/>
    <w:rsid w:val="00B66F77"/>
    <w:rsid w:val="00BA1F49"/>
    <w:rsid w:val="00BF2F82"/>
    <w:rsid w:val="00C00802"/>
    <w:rsid w:val="00D623B1"/>
    <w:rsid w:val="00D73421"/>
    <w:rsid w:val="00D8775C"/>
    <w:rsid w:val="00DE36A0"/>
    <w:rsid w:val="00E01A94"/>
    <w:rsid w:val="00E260DA"/>
    <w:rsid w:val="00E410DA"/>
    <w:rsid w:val="00EF3D4B"/>
    <w:rsid w:val="00F03521"/>
    <w:rsid w:val="00F14BC5"/>
    <w:rsid w:val="00FC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4211"/>
  <w15:chartTrackingRefBased/>
  <w15:docId w15:val="{7F40BD9B-8A63-411E-86FB-D01670B6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3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3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3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3D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3D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3D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3D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3D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3D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3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3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3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3D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3D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3D4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3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3D4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F3D4B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734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73421"/>
  </w:style>
  <w:style w:type="paragraph" w:styleId="ae">
    <w:name w:val="footer"/>
    <w:basedOn w:val="a"/>
    <w:link w:val="af"/>
    <w:uiPriority w:val="99"/>
    <w:unhideWhenUsed/>
    <w:rsid w:val="00D734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3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5C0A2-782C-472D-8AF1-586E05292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25</Pages>
  <Words>14023</Words>
  <Characters>7994</Characters>
  <Application>Microsoft Office Word</Application>
  <DocSecurity>0</DocSecurity>
  <Lines>66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2025-08-28T13:15:00Z</dcterms:created>
  <dcterms:modified xsi:type="dcterms:W3CDTF">2025-09-30T09:55:00Z</dcterms:modified>
</cp:coreProperties>
</file>