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17" w:rsidRPr="00C57ACA" w:rsidRDefault="00775717" w:rsidP="00775717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775717" w:rsidRPr="00C57ACA" w:rsidRDefault="00775717" w:rsidP="00775717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C57AC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775717" w:rsidRPr="00C57ACA" w:rsidRDefault="00775717" w:rsidP="00775717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C57ACA">
        <w:rPr>
          <w:rFonts w:ascii="Times New Roman" w:hAnsi="Times New Roman" w:cs="Times New Roman"/>
          <w:sz w:val="24"/>
          <w:szCs w:val="24"/>
          <w:lang w:val="uk-UA"/>
        </w:rPr>
        <w:t xml:space="preserve">рішенням Верхньодніпровської </w:t>
      </w:r>
    </w:p>
    <w:p w:rsidR="00775717" w:rsidRPr="00C57ACA" w:rsidRDefault="00775717" w:rsidP="00775717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C57ACA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775717" w:rsidRPr="00C57ACA" w:rsidRDefault="00775717" w:rsidP="00775717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C57ACA">
        <w:rPr>
          <w:rFonts w:ascii="Times New Roman" w:hAnsi="Times New Roman" w:cs="Times New Roman"/>
          <w:sz w:val="24"/>
          <w:szCs w:val="24"/>
          <w:lang w:val="uk-UA"/>
        </w:rPr>
        <w:t>№_____-47/ІХ від «___»___2025 року</w:t>
      </w:r>
    </w:p>
    <w:p w:rsidR="00935E9F" w:rsidRDefault="00935E9F" w:rsidP="007757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5E9F" w:rsidRDefault="00935E9F" w:rsidP="00775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7A8B" w:rsidRPr="001F102A" w:rsidRDefault="001F102A" w:rsidP="0077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775717" w:rsidRPr="00775717" w:rsidRDefault="00775717" w:rsidP="0077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Pr="007757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«Муніципальна система відеоспостереження </w:t>
      </w:r>
    </w:p>
    <w:p w:rsidR="00E67A8B" w:rsidRDefault="00775717" w:rsidP="00775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5717">
        <w:rPr>
          <w:rFonts w:ascii="Times New Roman" w:hAnsi="Times New Roman" w:cs="Times New Roman"/>
          <w:b/>
          <w:sz w:val="24"/>
          <w:szCs w:val="24"/>
          <w:lang w:val="uk-UA"/>
        </w:rPr>
        <w:t>у Верхньодніпровській міській територіальній громаді на 2026-2030 роки»</w:t>
      </w:r>
    </w:p>
    <w:p w:rsidR="001F102A" w:rsidRPr="001F102A" w:rsidRDefault="001F102A" w:rsidP="00775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Pr="00775717" w:rsidRDefault="00775717" w:rsidP="007757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1. </w:t>
      </w:r>
      <w:r w:rsidR="00E67A8B" w:rsidRPr="00775717">
        <w:rPr>
          <w:rFonts w:ascii="Times New Roman" w:hAnsi="Times New Roman" w:cs="Times New Roman"/>
          <w:b/>
          <w:sz w:val="24"/>
          <w:szCs w:val="24"/>
          <w:lang w:val="uk-UA"/>
        </w:rPr>
        <w:t>Назва:</w:t>
      </w:r>
      <w:r w:rsidR="001F102A" w:rsidRPr="007757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75717">
        <w:rPr>
          <w:rFonts w:ascii="Times New Roman" w:hAnsi="Times New Roman" w:cs="Times New Roman"/>
          <w:sz w:val="24"/>
          <w:szCs w:val="24"/>
          <w:lang w:val="uk-UA"/>
        </w:rPr>
        <w:t>Програма «Муніципальна система відеоспостереження у Верхньодніпровській міській територіальній громаді на 2026-2030 роки».</w:t>
      </w:r>
    </w:p>
    <w:p w:rsidR="00775717" w:rsidRPr="00775717" w:rsidRDefault="00775717" w:rsidP="00775717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Pr="001F102A" w:rsidRDefault="001F102A" w:rsidP="00775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E67A8B" w:rsidRPr="001F102A">
        <w:rPr>
          <w:rFonts w:ascii="Times New Roman" w:hAnsi="Times New Roman" w:cs="Times New Roman"/>
          <w:b/>
          <w:sz w:val="24"/>
          <w:szCs w:val="24"/>
          <w:lang w:val="uk-UA"/>
        </w:rPr>
        <w:t>Підстава для розроблення:</w:t>
      </w:r>
    </w:p>
    <w:p w:rsidR="00E67A8B" w:rsidRDefault="00775717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Закони України </w:t>
      </w:r>
      <w:r w:rsidRPr="004A4A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«Про правовий режим воєнного стану», «Про місцеве самоврядування в Україні»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,</w:t>
      </w:r>
      <w:r w:rsidRPr="004A4A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«Про Національну програму інформатизації», «Про благоустр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ій населених пунктів», постанова</w:t>
      </w:r>
      <w:r w:rsidRPr="004A4A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775717" w:rsidRPr="001F102A" w:rsidRDefault="00775717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Pr="001F102A" w:rsidRDefault="00FF2319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="00E67A8B" w:rsidRPr="001F102A">
        <w:rPr>
          <w:rFonts w:ascii="Times New Roman" w:hAnsi="Times New Roman" w:cs="Times New Roman"/>
          <w:b/>
          <w:sz w:val="24"/>
          <w:szCs w:val="24"/>
          <w:lang w:val="uk-UA"/>
        </w:rPr>
        <w:t>Ініціатор розроблення Програми:</w:t>
      </w:r>
    </w:p>
    <w:p w:rsidR="00E67A8B" w:rsidRDefault="002C7AC2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>иконавчий комітет Верхньодніпровської міської ради.</w:t>
      </w:r>
    </w:p>
    <w:p w:rsidR="00810A0D" w:rsidRPr="001F102A" w:rsidRDefault="00810A0D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Pr="001F102A" w:rsidRDefault="00FF2319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E67A8B" w:rsidRPr="001F102A">
        <w:rPr>
          <w:rFonts w:ascii="Times New Roman" w:hAnsi="Times New Roman" w:cs="Times New Roman"/>
          <w:b/>
          <w:sz w:val="24"/>
          <w:szCs w:val="24"/>
          <w:lang w:val="uk-UA"/>
        </w:rPr>
        <w:t>Розробник Програми або координатор:</w:t>
      </w:r>
    </w:p>
    <w:p w:rsidR="00E67A8B" w:rsidRDefault="002C7AC2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AC2">
        <w:rPr>
          <w:rFonts w:ascii="Times New Roman" w:hAnsi="Times New Roman" w:cs="Times New Roman"/>
          <w:sz w:val="24"/>
          <w:szCs w:val="24"/>
          <w:lang w:val="uk-UA"/>
        </w:rPr>
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10A0D" w:rsidRPr="001F102A" w:rsidRDefault="00810A0D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Pr="001F102A" w:rsidRDefault="00E67A8B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FF2319" w:rsidRPr="001F10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 за виконання Програми:</w:t>
      </w:r>
    </w:p>
    <w:p w:rsidR="00E67A8B" w:rsidRPr="001F102A" w:rsidRDefault="00E67A8B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sz w:val="24"/>
          <w:szCs w:val="24"/>
          <w:lang w:val="uk-UA"/>
        </w:rPr>
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ради;</w:t>
      </w:r>
    </w:p>
    <w:p w:rsidR="00E67A8B" w:rsidRPr="001F102A" w:rsidRDefault="009D7C4F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 житлово-комунального</w:t>
      </w:r>
      <w:r w:rsidRPr="009D7C4F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 та капітального будівництва В</w:t>
      </w:r>
      <w:r>
        <w:rPr>
          <w:rFonts w:ascii="Times New Roman" w:hAnsi="Times New Roman" w:cs="Times New Roman"/>
          <w:sz w:val="24"/>
          <w:szCs w:val="24"/>
          <w:lang w:val="uk-UA"/>
        </w:rPr>
        <w:t>ерхньодніпровської міської ради</w:t>
      </w:r>
      <w:r w:rsidR="00FF2319" w:rsidRPr="001F102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75717" w:rsidRDefault="00775717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sz w:val="24"/>
          <w:szCs w:val="24"/>
          <w:lang w:val="uk-UA"/>
        </w:rPr>
        <w:t>відділ бухгалтерського обліку та звітності Верхньодніпровської міської ради;</w:t>
      </w:r>
    </w:p>
    <w:p w:rsidR="00775717" w:rsidRPr="001F102A" w:rsidRDefault="00775717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 організаційної роботи, внутрішньої політики та інформаційних технологій Верхньодніпровської міської ради;</w:t>
      </w:r>
    </w:p>
    <w:p w:rsidR="00E67A8B" w:rsidRPr="001F102A" w:rsidRDefault="00E67A8B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sz w:val="24"/>
          <w:szCs w:val="24"/>
          <w:lang w:val="uk-UA"/>
        </w:rPr>
        <w:t>відділення поліції № 3 Кам’янського районного Управління пол</w:t>
      </w:r>
      <w:r w:rsidR="00592B2C" w:rsidRPr="001F102A">
        <w:rPr>
          <w:rFonts w:ascii="Times New Roman" w:hAnsi="Times New Roman" w:cs="Times New Roman"/>
          <w:sz w:val="24"/>
          <w:szCs w:val="24"/>
          <w:lang w:val="uk-UA"/>
        </w:rPr>
        <w:t>іції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ГУ НП в Дніпропетровській області;</w:t>
      </w:r>
    </w:p>
    <w:p w:rsidR="00E67A8B" w:rsidRDefault="00E67A8B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інші </w:t>
      </w:r>
      <w:r w:rsidR="00931C7B">
        <w:rPr>
          <w:rFonts w:ascii="Times New Roman" w:hAnsi="Times New Roman" w:cs="Times New Roman"/>
          <w:sz w:val="24"/>
          <w:szCs w:val="24"/>
          <w:lang w:val="uk-UA"/>
        </w:rPr>
        <w:t>структурні підрозділи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Верхньодніпровської </w:t>
      </w:r>
      <w:r w:rsidR="00931C7B">
        <w:rPr>
          <w:rFonts w:ascii="Times New Roman" w:hAnsi="Times New Roman" w:cs="Times New Roman"/>
          <w:sz w:val="24"/>
          <w:szCs w:val="24"/>
          <w:lang w:val="uk-UA"/>
        </w:rPr>
        <w:t>міської ради, комунальні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</w:t>
      </w:r>
      <w:r w:rsidR="00931C7B">
        <w:rPr>
          <w:rFonts w:ascii="Times New Roman" w:hAnsi="Times New Roman" w:cs="Times New Roman"/>
          <w:sz w:val="24"/>
          <w:szCs w:val="24"/>
          <w:lang w:val="uk-UA"/>
        </w:rPr>
        <w:t>, заклади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931C7B">
        <w:rPr>
          <w:rFonts w:ascii="Times New Roman" w:hAnsi="Times New Roman" w:cs="Times New Roman"/>
          <w:sz w:val="24"/>
          <w:szCs w:val="24"/>
          <w:lang w:val="uk-UA"/>
        </w:rPr>
        <w:t>установи, засновником яких є Верхньодніпровська міська рада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7AC2" w:rsidRPr="001F102A" w:rsidRDefault="002C7AC2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Default="00592B2C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</w:t>
      </w:r>
      <w:r w:rsidR="00E67A8B" w:rsidRPr="001F102A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="002C7AC2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>безпечення об’єктів захисту та критично важливих об’єктів шляхом зниження ймовірності реалізації загроз природного, техногенного, криміногенного, терористичного й іншого характеру за рахунок запобігання кризових ситуацій шляхом оснащення об’єктів захисту та критично важливих об’єктів технічними засобами моніторингу (відеоспостереження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1F102A">
        <w:rPr>
          <w:rFonts w:ascii="Times New Roman" w:hAnsi="Times New Roman" w:cs="Times New Roman"/>
          <w:sz w:val="24"/>
          <w:szCs w:val="24"/>
          <w:lang w:val="uk-UA"/>
        </w:rPr>
        <w:t>відеоконтролю</w:t>
      </w:r>
      <w:proofErr w:type="spellEnd"/>
      <w:r w:rsidRPr="001F102A">
        <w:rPr>
          <w:rFonts w:ascii="Times New Roman" w:hAnsi="Times New Roman" w:cs="Times New Roman"/>
          <w:sz w:val="24"/>
          <w:szCs w:val="24"/>
          <w:lang w:val="uk-UA"/>
        </w:rPr>
        <w:t>), ефективного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моніторингу поточної обстановки за рахунок використання системи відеоспостереження та </w:t>
      </w:r>
      <w:proofErr w:type="spellStart"/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>відеоконтролюван</w:t>
      </w:r>
      <w:r w:rsidR="00775717">
        <w:rPr>
          <w:rFonts w:ascii="Times New Roman" w:hAnsi="Times New Roman" w:cs="Times New Roman"/>
          <w:sz w:val="24"/>
          <w:szCs w:val="24"/>
          <w:lang w:val="uk-UA"/>
        </w:rPr>
        <w:t>ня</w:t>
      </w:r>
      <w:proofErr w:type="spellEnd"/>
      <w:r w:rsidR="00775717">
        <w:rPr>
          <w:rFonts w:ascii="Times New Roman" w:hAnsi="Times New Roman" w:cs="Times New Roman"/>
          <w:sz w:val="24"/>
          <w:szCs w:val="24"/>
          <w:lang w:val="uk-UA"/>
        </w:rPr>
        <w:t xml:space="preserve"> і надання інформації для дій Верхньодніпровської міської ради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75717">
        <w:rPr>
          <w:rFonts w:ascii="Times New Roman" w:hAnsi="Times New Roman" w:cs="Times New Roman"/>
          <w:sz w:val="24"/>
          <w:szCs w:val="24"/>
          <w:lang w:val="uk-UA"/>
        </w:rPr>
        <w:t xml:space="preserve">правоохоронних органів та 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посадових осіб адміністрацій об’єктів з масовим перебуванням людей, що забезпечує своєчасність прийняття управлінських рішень.</w:t>
      </w:r>
    </w:p>
    <w:p w:rsidR="00775717" w:rsidRPr="001F102A" w:rsidRDefault="00775717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Default="00621E59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 w:rsidR="00E67A8B" w:rsidRPr="001F102A">
        <w:rPr>
          <w:rFonts w:ascii="Times New Roman" w:hAnsi="Times New Roman" w:cs="Times New Roman"/>
          <w:b/>
          <w:sz w:val="24"/>
          <w:szCs w:val="24"/>
          <w:lang w:val="uk-UA"/>
        </w:rPr>
        <w:t>Початок: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7C4F">
        <w:rPr>
          <w:rFonts w:ascii="Times New Roman" w:hAnsi="Times New Roman" w:cs="Times New Roman"/>
          <w:sz w:val="24"/>
          <w:szCs w:val="24"/>
          <w:lang w:val="uk-UA"/>
        </w:rPr>
        <w:t>січень 2026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року, закінчення -</w:t>
      </w:r>
      <w:r w:rsidR="009D7C4F">
        <w:rPr>
          <w:rFonts w:ascii="Times New Roman" w:hAnsi="Times New Roman" w:cs="Times New Roman"/>
          <w:sz w:val="24"/>
          <w:szCs w:val="24"/>
          <w:lang w:val="uk-UA"/>
        </w:rPr>
        <w:t xml:space="preserve"> грудень 2030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775717" w:rsidRPr="001F102A" w:rsidRDefault="00775717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Default="00621E59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57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</w:t>
      </w:r>
      <w:r w:rsidR="00E67A8B" w:rsidRPr="00775717">
        <w:rPr>
          <w:rFonts w:ascii="Times New Roman" w:hAnsi="Times New Roman" w:cs="Times New Roman"/>
          <w:b/>
          <w:sz w:val="24"/>
          <w:szCs w:val="24"/>
          <w:lang w:val="uk-UA"/>
        </w:rPr>
        <w:t>Етапи виконання:</w:t>
      </w:r>
      <w:r w:rsidR="00E67A8B" w:rsidRPr="00775717">
        <w:rPr>
          <w:rFonts w:ascii="Times New Roman" w:hAnsi="Times New Roman" w:cs="Times New Roman"/>
          <w:sz w:val="24"/>
          <w:szCs w:val="24"/>
          <w:lang w:val="uk-UA"/>
        </w:rPr>
        <w:t xml:space="preserve"> Програма виконується в один етап.</w:t>
      </w:r>
    </w:p>
    <w:p w:rsidR="00775717" w:rsidRPr="001F102A" w:rsidRDefault="00775717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A8B" w:rsidRPr="001F102A" w:rsidRDefault="00621E59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</w:t>
      </w:r>
      <w:r w:rsidR="00E67A8B" w:rsidRPr="001F102A">
        <w:rPr>
          <w:rFonts w:ascii="Times New Roman" w:hAnsi="Times New Roman" w:cs="Times New Roman"/>
          <w:b/>
          <w:sz w:val="24"/>
          <w:szCs w:val="24"/>
          <w:lang w:val="uk-UA"/>
        </w:rPr>
        <w:t>Загальні обсяги фінансування:</w:t>
      </w:r>
    </w:p>
    <w:p w:rsidR="00E67A8B" w:rsidRPr="001F102A" w:rsidRDefault="00D800FE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Програма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реалізується за рахунок коштів міського бюджету та інших джерел фінансування, не заборонених чинним законодавством.</w:t>
      </w:r>
    </w:p>
    <w:p w:rsidR="00E67A8B" w:rsidRDefault="00E67A8B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Обсяги фінансування </w:t>
      </w:r>
      <w:r w:rsidR="00621E59"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>визначатимуться</w:t>
      </w:r>
      <w:r w:rsidR="00621E59"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>щороку, виходячи з конкретних завдань та наявних ресурсів міського бюджету, і можуть бути</w:t>
      </w:r>
      <w:r w:rsidR="00621E59" w:rsidRPr="001F102A">
        <w:rPr>
          <w:rFonts w:ascii="Times New Roman" w:hAnsi="Times New Roman" w:cs="Times New Roman"/>
          <w:sz w:val="24"/>
          <w:szCs w:val="24"/>
          <w:lang w:val="uk-UA"/>
        </w:rPr>
        <w:t xml:space="preserve"> уточнені під час складання проє</w:t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>кту бюджету на відповідний рік чи у процесі його виконання.</w:t>
      </w:r>
    </w:p>
    <w:p w:rsidR="00775717" w:rsidRPr="001F102A" w:rsidRDefault="00775717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1461"/>
        <w:gridCol w:w="1134"/>
        <w:gridCol w:w="1134"/>
        <w:gridCol w:w="1134"/>
        <w:gridCol w:w="1134"/>
        <w:gridCol w:w="1134"/>
      </w:tblGrid>
      <w:tr w:rsidR="00BA2786" w:rsidRPr="000D6331" w:rsidTr="000D6331">
        <w:trPr>
          <w:trHeight w:hRule="exact" w:val="6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0FE" w:rsidRPr="00A73D49" w:rsidRDefault="00BA2786" w:rsidP="0077571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 xml:space="preserve">Джерела </w:t>
            </w:r>
          </w:p>
          <w:p w:rsidR="00BA2786" w:rsidRPr="00A73D49" w:rsidRDefault="00BA2786" w:rsidP="0077571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фінансування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00FE" w:rsidRPr="00A73D49" w:rsidRDefault="00BA2786" w:rsidP="0077571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 xml:space="preserve">Обсяг </w:t>
            </w:r>
          </w:p>
          <w:p w:rsidR="000D6331" w:rsidRDefault="00BA2786" w:rsidP="0077571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фінансування, усього</w:t>
            </w:r>
            <w:r w:rsidR="000D6331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 xml:space="preserve"> </w:t>
            </w:r>
          </w:p>
          <w:p w:rsidR="00BA2786" w:rsidRPr="00A73D49" w:rsidRDefault="000D6331" w:rsidP="0077571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(тис. грн.)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786" w:rsidRPr="00A73D49" w:rsidRDefault="000D6331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За роками виконання (тис. грн.)</w:t>
            </w:r>
          </w:p>
        </w:tc>
      </w:tr>
      <w:tr w:rsidR="006B20E3" w:rsidRPr="000D6331" w:rsidTr="000D6331">
        <w:trPr>
          <w:trHeight w:hRule="exact" w:val="455"/>
        </w:trPr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7A8B" w:rsidRPr="00A73D49" w:rsidRDefault="00E67A8B" w:rsidP="0077571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val="uk-UA" w:eastAsia="uk-UA" w:bidi="uk-UA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7A8B" w:rsidRPr="00A73D49" w:rsidRDefault="00E67A8B" w:rsidP="0077571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7A8B" w:rsidRPr="00A73D49" w:rsidRDefault="00B060B2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2026</w:t>
            </w:r>
            <w:r w:rsidR="00E67A8B"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7A8B" w:rsidRPr="00A73D49" w:rsidRDefault="00B060B2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2027</w:t>
            </w:r>
            <w:r w:rsidR="00E67A8B"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7A8B" w:rsidRPr="00A73D49" w:rsidRDefault="00B060B2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2028</w:t>
            </w:r>
            <w:r w:rsidR="00E67A8B"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7A8B" w:rsidRPr="00A73D49" w:rsidRDefault="00B060B2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2029</w:t>
            </w:r>
            <w:r w:rsidR="00E67A8B"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A8B" w:rsidRPr="00A73D49" w:rsidRDefault="00B060B2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2030</w:t>
            </w:r>
            <w:r w:rsidR="00E67A8B"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 xml:space="preserve"> рік</w:t>
            </w:r>
          </w:p>
        </w:tc>
      </w:tr>
      <w:tr w:rsidR="00A73D49" w:rsidRPr="000D6331" w:rsidTr="000D6331">
        <w:trPr>
          <w:trHeight w:hRule="exact" w:val="4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73D49" w:rsidRDefault="00A73D49" w:rsidP="0077571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bookmarkStart w:id="0" w:name="_GoBack" w:colFirst="1" w:colLast="2"/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Міський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52C27" w:rsidRDefault="000D6331" w:rsidP="0077571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FF0000"/>
                <w:lang w:val="uk-UA" w:eastAsia="uk-UA" w:bidi="uk-UA"/>
              </w:rPr>
            </w:pPr>
            <w:r w:rsidRPr="00A52C27">
              <w:rPr>
                <w:rFonts w:ascii="Times New Roman" w:eastAsia="Bookman Old Style" w:hAnsi="Times New Roman" w:cs="Times New Roman"/>
                <w:color w:val="FF0000"/>
                <w:sz w:val="20"/>
                <w:szCs w:val="20"/>
                <w:lang w:val="uk-UA" w:eastAsia="uk-UA" w:bidi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52C27" w:rsidRDefault="000D6331" w:rsidP="00775717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FF0000"/>
                <w:sz w:val="20"/>
                <w:szCs w:val="20"/>
                <w:lang w:val="uk-UA" w:eastAsia="uk-UA" w:bidi="uk-UA"/>
              </w:rPr>
            </w:pPr>
            <w:r w:rsidRPr="00A52C27">
              <w:rPr>
                <w:rFonts w:ascii="Times New Roman" w:eastAsia="Bookman Old Style" w:hAnsi="Times New Roman" w:cs="Times New Roman"/>
                <w:color w:val="FF0000"/>
                <w:sz w:val="20"/>
                <w:szCs w:val="20"/>
                <w:lang w:val="uk-UA" w:eastAsia="uk-UA" w:bidi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73D49" w:rsidRDefault="00A73D49" w:rsidP="00EB2DC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73D49" w:rsidRDefault="00A73D49" w:rsidP="00EB2DC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73D49" w:rsidRDefault="00A73D49" w:rsidP="00EB2DC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D49" w:rsidRPr="00A73D49" w:rsidRDefault="00A73D49" w:rsidP="00EB2DC5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A73D49" w:rsidRPr="000D6331" w:rsidTr="000D6331">
        <w:trPr>
          <w:trHeight w:hRule="exact" w:val="3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73D49" w:rsidRDefault="00A73D49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Інші джерела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52C27" w:rsidRDefault="00A73D49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FF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52C27" w:rsidRDefault="00A73D49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FF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73D49" w:rsidRDefault="00A73D49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73D49" w:rsidRDefault="00A73D49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3D49" w:rsidRPr="00A73D49" w:rsidRDefault="00A73D49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D49" w:rsidRPr="00A73D49" w:rsidRDefault="00A73D49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</w:p>
        </w:tc>
      </w:tr>
      <w:tr w:rsidR="00A73D49" w:rsidRPr="000D6331" w:rsidTr="000D6331">
        <w:trPr>
          <w:trHeight w:hRule="exact" w:val="4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D49" w:rsidRPr="00A73D49" w:rsidRDefault="00A73D49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lang w:val="uk-UA" w:eastAsia="uk-UA" w:bidi="uk-UA"/>
              </w:rPr>
            </w:pPr>
            <w:r w:rsidRPr="00A73D49">
              <w:rPr>
                <w:rFonts w:ascii="Times New Roman" w:eastAsia="Bookman Old Style" w:hAnsi="Times New Roman" w:cs="Times New Roman"/>
                <w:bCs/>
                <w:color w:val="000000"/>
                <w:lang w:val="uk-UA" w:eastAsia="uk-UA" w:bidi="uk-UA"/>
              </w:rPr>
              <w:t>Усього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D49" w:rsidRPr="00A52C27" w:rsidRDefault="000D6331" w:rsidP="000D6331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FF0000"/>
                <w:lang w:val="uk-UA" w:eastAsia="uk-UA" w:bidi="uk-UA"/>
              </w:rPr>
            </w:pPr>
            <w:r w:rsidRPr="00A52C27">
              <w:rPr>
                <w:rFonts w:ascii="Times New Roman" w:eastAsia="Bookman Old Style" w:hAnsi="Times New Roman" w:cs="Times New Roman"/>
                <w:color w:val="FF0000"/>
                <w:sz w:val="20"/>
                <w:szCs w:val="20"/>
                <w:lang w:val="uk-UA" w:eastAsia="uk-UA" w:bidi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D49" w:rsidRPr="00A52C27" w:rsidRDefault="000D6331" w:rsidP="007757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lang w:val="uk-UA" w:eastAsia="uk-UA" w:bidi="uk-UA"/>
              </w:rPr>
            </w:pPr>
            <w:r w:rsidRPr="00A52C27">
              <w:rPr>
                <w:rFonts w:ascii="Times New Roman" w:eastAsia="Bookman Old Style" w:hAnsi="Times New Roman" w:cs="Times New Roman"/>
                <w:color w:val="FF0000"/>
                <w:sz w:val="20"/>
                <w:szCs w:val="20"/>
                <w:lang w:val="uk-UA" w:eastAsia="uk-UA" w:bidi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D49" w:rsidRPr="00A73D49" w:rsidRDefault="00A73D49" w:rsidP="007757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D49" w:rsidRPr="00A73D49" w:rsidRDefault="00A73D49" w:rsidP="00DD6A0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D49" w:rsidRPr="00A73D49" w:rsidRDefault="00A73D49" w:rsidP="00DD6A0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49" w:rsidRPr="00A73D49" w:rsidRDefault="00A73D49" w:rsidP="00DD6A0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uk-UA" w:eastAsia="uk-UA" w:bidi="uk-UA"/>
              </w:rPr>
            </w:pPr>
          </w:p>
        </w:tc>
      </w:tr>
    </w:tbl>
    <w:bookmarkEnd w:id="0"/>
    <w:p w:rsidR="00E67A8B" w:rsidRPr="001F102A" w:rsidRDefault="00E67A8B" w:rsidP="00775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F102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060B2" w:rsidRDefault="00BA2786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10. </w:t>
      </w:r>
      <w:r w:rsidR="00E67A8B" w:rsidRPr="001F102A">
        <w:rPr>
          <w:rFonts w:ascii="Times New Roman" w:hAnsi="Times New Roman" w:cs="Times New Roman"/>
          <w:b/>
          <w:sz w:val="24"/>
          <w:szCs w:val="24"/>
          <w:lang w:val="uk-UA"/>
        </w:rPr>
        <w:t>Очікувані кінцеві результати виконання Програми:</w:t>
      </w:r>
    </w:p>
    <w:p w:rsidR="00E67A8B" w:rsidRDefault="00BA2786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sz w:val="24"/>
          <w:szCs w:val="24"/>
          <w:lang w:val="uk-UA"/>
        </w:rPr>
        <w:t>розв’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>язання проблем у сфері безпечних умов проживання громадян, забезпече</w:t>
      </w:r>
      <w:r w:rsidR="00775717">
        <w:rPr>
          <w:rFonts w:ascii="Times New Roman" w:hAnsi="Times New Roman" w:cs="Times New Roman"/>
          <w:sz w:val="24"/>
          <w:szCs w:val="24"/>
          <w:lang w:val="uk-UA"/>
        </w:rPr>
        <w:t>ння нормальної життєдіяльності Г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>ромади, захисту майна громади, безпеки дорожнього руху.</w:t>
      </w:r>
    </w:p>
    <w:p w:rsidR="00B060B2" w:rsidRPr="00B060B2" w:rsidRDefault="00B060B2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675E" w:rsidRDefault="00BA2786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10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</w:t>
      </w:r>
      <w:r w:rsidR="00E67A8B" w:rsidRPr="001F102A">
        <w:rPr>
          <w:rFonts w:ascii="Times New Roman" w:hAnsi="Times New Roman" w:cs="Times New Roman"/>
          <w:b/>
          <w:sz w:val="24"/>
          <w:szCs w:val="24"/>
          <w:lang w:val="uk-UA"/>
        </w:rPr>
        <w:t>Координацію роботи щодо виконанням Програми</w:t>
      </w:r>
      <w:r w:rsidR="00B060B2">
        <w:rPr>
          <w:rFonts w:ascii="Times New Roman" w:hAnsi="Times New Roman" w:cs="Times New Roman"/>
          <w:sz w:val="24"/>
          <w:szCs w:val="24"/>
          <w:lang w:val="uk-UA"/>
        </w:rPr>
        <w:t xml:space="preserve"> здійснює відділ цивільного з</w:t>
      </w:r>
      <w:r w:rsidR="00E67A8B" w:rsidRPr="001F102A">
        <w:rPr>
          <w:rFonts w:ascii="Times New Roman" w:hAnsi="Times New Roman" w:cs="Times New Roman"/>
          <w:sz w:val="24"/>
          <w:szCs w:val="24"/>
          <w:lang w:val="uk-UA"/>
        </w:rPr>
        <w:t>ахисту, надзвичайних ситуацій, мобілізаційної роботи та взаємодії з правоохоронними органами Верхньодніпровської міської ради, конт</w:t>
      </w:r>
      <w:r w:rsidR="00551719">
        <w:rPr>
          <w:rFonts w:ascii="Times New Roman" w:hAnsi="Times New Roman" w:cs="Times New Roman"/>
          <w:sz w:val="24"/>
          <w:szCs w:val="24"/>
          <w:lang w:val="uk-UA"/>
        </w:rPr>
        <w:t xml:space="preserve">роль покладений </w:t>
      </w:r>
      <w:r w:rsidR="00775717">
        <w:rPr>
          <w:rFonts w:ascii="Times New Roman" w:hAnsi="Times New Roman" w:cs="Times New Roman"/>
          <w:sz w:val="24"/>
          <w:szCs w:val="24"/>
          <w:lang w:val="uk-UA"/>
        </w:rPr>
        <w:t>на постійну депутатську комісію</w:t>
      </w:r>
      <w:r w:rsidR="00775717" w:rsidRPr="009C6A7A">
        <w:rPr>
          <w:rFonts w:ascii="Times New Roman" w:hAnsi="Times New Roman" w:cs="Times New Roman"/>
          <w:sz w:val="24"/>
          <w:szCs w:val="24"/>
          <w:lang w:val="uk-UA"/>
        </w:rPr>
        <w:t xml:space="preserve"> з питань фінансів, планування соціально-економічного розвитку, інвестицій та міжнародного співробітництва Верхньодніпровської міської ради.</w:t>
      </w:r>
    </w:p>
    <w:p w:rsidR="001D675E" w:rsidRDefault="001D675E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675E" w:rsidRDefault="001D675E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675E" w:rsidRPr="001F102A" w:rsidRDefault="001D675E" w:rsidP="00775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675E" w:rsidRPr="001D675E" w:rsidRDefault="001D675E" w:rsidP="00775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75E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цивільного захисту, </w:t>
      </w:r>
    </w:p>
    <w:p w:rsidR="001D675E" w:rsidRPr="001D675E" w:rsidRDefault="001D675E" w:rsidP="00775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75E">
        <w:rPr>
          <w:rFonts w:ascii="Times New Roman" w:hAnsi="Times New Roman" w:cs="Times New Roman"/>
          <w:sz w:val="24"/>
          <w:szCs w:val="24"/>
          <w:lang w:val="uk-UA"/>
        </w:rPr>
        <w:t xml:space="preserve">надзвичайних ситуацій, мобілізаційної роботи </w:t>
      </w:r>
    </w:p>
    <w:p w:rsidR="001D675E" w:rsidRPr="001D675E" w:rsidRDefault="001D675E" w:rsidP="00775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75E">
        <w:rPr>
          <w:rFonts w:ascii="Times New Roman" w:hAnsi="Times New Roman" w:cs="Times New Roman"/>
          <w:sz w:val="24"/>
          <w:szCs w:val="24"/>
          <w:lang w:val="uk-UA"/>
        </w:rPr>
        <w:t xml:space="preserve">та взаємодії з правоохоронними органами </w:t>
      </w:r>
    </w:p>
    <w:p w:rsidR="00835A41" w:rsidRPr="00B060B2" w:rsidRDefault="001D675E" w:rsidP="00775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75E">
        <w:rPr>
          <w:rFonts w:ascii="Times New Roman" w:hAnsi="Times New Roman" w:cs="Times New Roman"/>
          <w:sz w:val="24"/>
          <w:szCs w:val="24"/>
          <w:lang w:val="uk-UA"/>
        </w:rPr>
        <w:t>Верхньодніпровс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ької міської ради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D675E">
        <w:rPr>
          <w:rFonts w:ascii="Times New Roman" w:hAnsi="Times New Roman" w:cs="Times New Roman"/>
          <w:sz w:val="24"/>
          <w:szCs w:val="24"/>
          <w:lang w:val="uk-UA"/>
        </w:rPr>
        <w:t>Володимир ШУТЬ</w:t>
      </w:r>
    </w:p>
    <w:sectPr w:rsidR="00835A41" w:rsidRPr="00B060B2" w:rsidSect="00DD6A01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4F" w:rsidRDefault="006F6D4F" w:rsidP="00935E9F">
      <w:pPr>
        <w:spacing w:after="0" w:line="240" w:lineRule="auto"/>
      </w:pPr>
      <w:r>
        <w:separator/>
      </w:r>
    </w:p>
  </w:endnote>
  <w:endnote w:type="continuationSeparator" w:id="0">
    <w:p w:rsidR="006F6D4F" w:rsidRDefault="006F6D4F" w:rsidP="0093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4F" w:rsidRDefault="006F6D4F" w:rsidP="00935E9F">
      <w:pPr>
        <w:spacing w:after="0" w:line="240" w:lineRule="auto"/>
      </w:pPr>
      <w:r>
        <w:separator/>
      </w:r>
    </w:p>
  </w:footnote>
  <w:footnote w:type="continuationSeparator" w:id="0">
    <w:p w:rsidR="006F6D4F" w:rsidRDefault="006F6D4F" w:rsidP="0093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169049"/>
      <w:docPartObj>
        <w:docPartGallery w:val="Page Numbers (Top of Page)"/>
        <w:docPartUnique/>
      </w:docPartObj>
    </w:sdtPr>
    <w:sdtEndPr/>
    <w:sdtContent>
      <w:p w:rsidR="00DD6A01" w:rsidRDefault="00DD6A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C27">
          <w:rPr>
            <w:noProof/>
          </w:rPr>
          <w:t>2</w:t>
        </w:r>
        <w:r>
          <w:fldChar w:fldCharType="end"/>
        </w:r>
      </w:p>
    </w:sdtContent>
  </w:sdt>
  <w:p w:rsidR="00DD6A01" w:rsidRDefault="00DD6A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CB1"/>
    <w:multiLevelType w:val="hybridMultilevel"/>
    <w:tmpl w:val="0790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044A1"/>
    <w:multiLevelType w:val="hybridMultilevel"/>
    <w:tmpl w:val="8988C6E6"/>
    <w:lvl w:ilvl="0" w:tplc="5FAA9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247890"/>
    <w:multiLevelType w:val="hybridMultilevel"/>
    <w:tmpl w:val="863040C2"/>
    <w:lvl w:ilvl="0" w:tplc="B4D4A3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8B"/>
    <w:rsid w:val="0000360A"/>
    <w:rsid w:val="0007638E"/>
    <w:rsid w:val="000D6331"/>
    <w:rsid w:val="001051EA"/>
    <w:rsid w:val="0013133E"/>
    <w:rsid w:val="00170D96"/>
    <w:rsid w:val="001D675E"/>
    <w:rsid w:val="001E107D"/>
    <w:rsid w:val="001F102A"/>
    <w:rsid w:val="00247186"/>
    <w:rsid w:val="002C7AC2"/>
    <w:rsid w:val="002E605F"/>
    <w:rsid w:val="00323D4C"/>
    <w:rsid w:val="0034186B"/>
    <w:rsid w:val="003C312F"/>
    <w:rsid w:val="0042220F"/>
    <w:rsid w:val="004477C7"/>
    <w:rsid w:val="004613BA"/>
    <w:rsid w:val="00495E3C"/>
    <w:rsid w:val="004F0177"/>
    <w:rsid w:val="00551719"/>
    <w:rsid w:val="00592B2C"/>
    <w:rsid w:val="00606995"/>
    <w:rsid w:val="00621E59"/>
    <w:rsid w:val="006B20E3"/>
    <w:rsid w:val="006F6D4F"/>
    <w:rsid w:val="007026DF"/>
    <w:rsid w:val="00775717"/>
    <w:rsid w:val="007A51F3"/>
    <w:rsid w:val="00810A0D"/>
    <w:rsid w:val="00835A41"/>
    <w:rsid w:val="008E5733"/>
    <w:rsid w:val="00931C7B"/>
    <w:rsid w:val="00935E9F"/>
    <w:rsid w:val="00952285"/>
    <w:rsid w:val="009C2F96"/>
    <w:rsid w:val="009D7C4F"/>
    <w:rsid w:val="00A17A5A"/>
    <w:rsid w:val="00A52C27"/>
    <w:rsid w:val="00A73D49"/>
    <w:rsid w:val="00A73F77"/>
    <w:rsid w:val="00AE383D"/>
    <w:rsid w:val="00B060B2"/>
    <w:rsid w:val="00B30C47"/>
    <w:rsid w:val="00BA2786"/>
    <w:rsid w:val="00BA7E48"/>
    <w:rsid w:val="00BC0FCA"/>
    <w:rsid w:val="00C87F68"/>
    <w:rsid w:val="00CA110B"/>
    <w:rsid w:val="00CB4CBB"/>
    <w:rsid w:val="00D7598D"/>
    <w:rsid w:val="00D800FE"/>
    <w:rsid w:val="00DD6A01"/>
    <w:rsid w:val="00E3056D"/>
    <w:rsid w:val="00E6644F"/>
    <w:rsid w:val="00E67A8B"/>
    <w:rsid w:val="00E94034"/>
    <w:rsid w:val="00EE3F1F"/>
    <w:rsid w:val="00F648AF"/>
    <w:rsid w:val="00FC3E38"/>
    <w:rsid w:val="00FD2460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7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5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E9F"/>
  </w:style>
  <w:style w:type="paragraph" w:styleId="a6">
    <w:name w:val="footer"/>
    <w:basedOn w:val="a"/>
    <w:link w:val="a7"/>
    <w:uiPriority w:val="99"/>
    <w:unhideWhenUsed/>
    <w:rsid w:val="00935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7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5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E9F"/>
  </w:style>
  <w:style w:type="paragraph" w:styleId="a6">
    <w:name w:val="footer"/>
    <w:basedOn w:val="a"/>
    <w:link w:val="a7"/>
    <w:uiPriority w:val="99"/>
    <w:unhideWhenUsed/>
    <w:rsid w:val="00935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1DC4-DABD-46C4-A39E-8007BD75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Рада</cp:lastModifiedBy>
  <cp:revision>45</cp:revision>
  <cp:lastPrinted>2025-11-10T09:20:00Z</cp:lastPrinted>
  <dcterms:created xsi:type="dcterms:W3CDTF">2025-08-12T08:47:00Z</dcterms:created>
  <dcterms:modified xsi:type="dcterms:W3CDTF">2025-11-27T13:46:00Z</dcterms:modified>
</cp:coreProperties>
</file>