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411B93"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w:t>
      </w:r>
      <w:r w:rsidR="006343F8">
        <w:rPr>
          <w:rFonts w:ascii="Times New Roman" w:eastAsia="Times New Roman" w:hAnsi="Times New Roman" w:cs="Times New Roman"/>
          <w:bCs/>
          <w:sz w:val="28"/>
          <w:szCs w:val="28"/>
          <w:lang w:val="uk-UA" w:eastAsia="uk-UA"/>
        </w:rPr>
        <w:t xml:space="preserve"> року №</w:t>
      </w: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3015"/>
        <w:gridCol w:w="124"/>
        <w:gridCol w:w="2144"/>
        <w:gridCol w:w="858"/>
        <w:gridCol w:w="1476"/>
        <w:gridCol w:w="611"/>
        <w:gridCol w:w="158"/>
        <w:gridCol w:w="367"/>
        <w:gridCol w:w="114"/>
        <w:gridCol w:w="364"/>
        <w:gridCol w:w="190"/>
        <w:gridCol w:w="41"/>
        <w:gridCol w:w="38"/>
        <w:gridCol w:w="25"/>
        <w:gridCol w:w="323"/>
        <w:gridCol w:w="6"/>
        <w:gridCol w:w="133"/>
        <w:gridCol w:w="142"/>
        <w:gridCol w:w="830"/>
        <w:gridCol w:w="32"/>
        <w:gridCol w:w="136"/>
        <w:gridCol w:w="38"/>
        <w:gridCol w:w="1143"/>
        <w:gridCol w:w="6"/>
        <w:gridCol w:w="196"/>
        <w:gridCol w:w="1485"/>
        <w:gridCol w:w="25"/>
      </w:tblGrid>
      <w:tr w:rsidR="007855D8" w:rsidRPr="007855D8" w:rsidTr="00022BBB">
        <w:trPr>
          <w:gridAfter w:val="1"/>
          <w:wAfter w:w="10" w:type="pct"/>
          <w:trHeight w:val="330"/>
        </w:trPr>
        <w:tc>
          <w:tcPr>
            <w:tcW w:w="4990" w:type="pct"/>
            <w:gridSpan w:val="27"/>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022BBB">
        <w:trPr>
          <w:gridAfter w:val="1"/>
          <w:wAfter w:w="10" w:type="pct"/>
          <w:trHeight w:val="420"/>
        </w:trPr>
        <w:tc>
          <w:tcPr>
            <w:tcW w:w="4990" w:type="pct"/>
            <w:gridSpan w:val="27"/>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022BBB" w:rsidRPr="00BB3759" w:rsidTr="00022BBB">
        <w:trPr>
          <w:gridAfter w:val="1"/>
          <w:wAfter w:w="10" w:type="pct"/>
          <w:trHeight w:val="174"/>
        </w:trPr>
        <w:tc>
          <w:tcPr>
            <w:tcW w:w="572"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991"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67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71"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3"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17"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46" w:type="pct"/>
            <w:gridSpan w:val="9"/>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90" w:type="pct"/>
            <w:gridSpan w:val="6"/>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022BBB" w:rsidRPr="007855D8" w:rsidTr="00022BBB">
        <w:trPr>
          <w:gridAfter w:val="1"/>
          <w:wAfter w:w="10" w:type="pct"/>
          <w:trHeight w:val="480"/>
        </w:trPr>
        <w:tc>
          <w:tcPr>
            <w:tcW w:w="572"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991"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676"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271"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2011" w:type="pct"/>
            <w:gridSpan w:val="21"/>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468" w:type="pc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022BBB" w:rsidRPr="007855D8" w:rsidTr="00022BBB">
        <w:trPr>
          <w:gridAfter w:val="1"/>
          <w:wAfter w:w="10" w:type="pct"/>
          <w:trHeight w:val="615"/>
        </w:trPr>
        <w:tc>
          <w:tcPr>
            <w:tcW w:w="572"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991"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676"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271"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59" w:type="pct"/>
            <w:gridSpan w:val="3"/>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24"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483" w:type="pct"/>
            <w:gridSpan w:val="8"/>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480" w:type="pct"/>
            <w:gridSpan w:val="5"/>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468" w:type="pct"/>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022BBB">
        <w:trPr>
          <w:gridAfter w:val="1"/>
          <w:wAfter w:w="10" w:type="pct"/>
          <w:trHeight w:val="600"/>
        </w:trPr>
        <w:tc>
          <w:tcPr>
            <w:tcW w:w="4990" w:type="pct"/>
            <w:gridSpan w:val="27"/>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022BBB" w:rsidRPr="00317600" w:rsidTr="00022BBB">
        <w:trPr>
          <w:gridAfter w:val="1"/>
          <w:wAfter w:w="10" w:type="pct"/>
          <w:trHeight w:val="565"/>
        </w:trPr>
        <w:tc>
          <w:tcPr>
            <w:tcW w:w="572"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991"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676"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5"/>
        </w:trPr>
        <w:tc>
          <w:tcPr>
            <w:tcW w:w="572"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67"/>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6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325D6" w:rsidTr="00022BBB">
        <w:trPr>
          <w:gridAfter w:val="1"/>
          <w:wAfter w:w="10" w:type="pct"/>
          <w:trHeight w:val="273"/>
        </w:trPr>
        <w:tc>
          <w:tcPr>
            <w:tcW w:w="572"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991"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676"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4"/>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7"/>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3"/>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48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w:t>
            </w:r>
            <w:r w:rsidRPr="001E24DA">
              <w:rPr>
                <w:rFonts w:ascii="Times New Roman" w:eastAsia="Times New Roman" w:hAnsi="Times New Roman" w:cs="Times New Roman"/>
                <w:sz w:val="20"/>
                <w:szCs w:val="20"/>
                <w:lang w:val="uk-UA" w:eastAsia="ru-RU"/>
              </w:rPr>
              <w:lastRenderedPageBreak/>
              <w:t xml:space="preserve">спрямування та закладів спеціалізованої освіти </w:t>
            </w:r>
          </w:p>
        </w:tc>
        <w:tc>
          <w:tcPr>
            <w:tcW w:w="676"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w:t>
            </w:r>
            <w:r w:rsidRPr="001E24DA">
              <w:rPr>
                <w:rFonts w:ascii="Times New Roman" w:eastAsia="Times New Roman" w:hAnsi="Times New Roman" w:cs="Times New Roman"/>
                <w:sz w:val="20"/>
                <w:szCs w:val="20"/>
                <w:lang w:val="uk-UA" w:eastAsia="ru-RU"/>
              </w:rPr>
              <w:lastRenderedPageBreak/>
              <w:t xml:space="preserve">закладів освіти та створено єдине інформаційне 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022BBB" w:rsidRPr="00317600"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3"/>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4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w:t>
            </w:r>
            <w:r w:rsidRPr="001E24DA">
              <w:rPr>
                <w:rFonts w:ascii="Times New Roman" w:eastAsia="Times New Roman" w:hAnsi="Times New Roman" w:cs="Times New Roman"/>
                <w:sz w:val="20"/>
                <w:szCs w:val="20"/>
                <w:lang w:val="uk-UA" w:eastAsia="ru-RU"/>
              </w:rPr>
              <w:lastRenderedPageBreak/>
              <w:t xml:space="preserve">гуртковою роботою за напрямами позашкільної освіти, </w:t>
            </w:r>
          </w:p>
        </w:tc>
      </w:tr>
      <w:tr w:rsidR="00022BBB" w:rsidRPr="00317600" w:rsidTr="00022BBB">
        <w:trPr>
          <w:gridAfter w:val="1"/>
          <w:wAfter w:w="10" w:type="pct"/>
          <w:trHeight w:val="66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4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3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67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позашкільної освіти за різними напрямами позашкільної освіти, </w:t>
            </w: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20"/>
        </w:trPr>
        <w:tc>
          <w:tcPr>
            <w:tcW w:w="572"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991"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9"/>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95" w:type="pct"/>
            <w:gridSpan w:val="9"/>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2"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67"/>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2"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0"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років зі складними порушеннями розвитку, в тому числі з інвалідністю, та консультування їхніх батьків</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Кількість дітей з вираженими інтелектуальними порушеннями в умовах короткотрива-логоперебу-ванняу стаціонарі та надання психолого-педагогічної,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7"/>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67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3"/>
        </w:trPr>
        <w:tc>
          <w:tcPr>
            <w:tcW w:w="2239"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68" w:type="pct"/>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178"/>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69"/>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74"/>
        </w:trPr>
        <w:tc>
          <w:tcPr>
            <w:tcW w:w="223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0"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5"/>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8"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3"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0" w:type="pct"/>
            <w:gridSpan w:val="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022BBB">
        <w:trPr>
          <w:gridAfter w:val="1"/>
          <w:wAfter w:w="10" w:type="pct"/>
          <w:trHeight w:val="495"/>
        </w:trPr>
        <w:tc>
          <w:tcPr>
            <w:tcW w:w="4990" w:type="pct"/>
            <w:gridSpan w:val="27"/>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022BBB" w:rsidRPr="00317600" w:rsidTr="00022BBB">
        <w:trPr>
          <w:gridAfter w:val="1"/>
          <w:wAfter w:w="10" w:type="pct"/>
          <w:trHeight w:val="510"/>
        </w:trPr>
        <w:tc>
          <w:tcPr>
            <w:tcW w:w="572"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w:t>
            </w:r>
            <w:r w:rsidRPr="002618F4">
              <w:rPr>
                <w:rFonts w:ascii="Times New Roman" w:eastAsia="Times New Roman" w:hAnsi="Times New Roman" w:cs="Times New Roman"/>
                <w:sz w:val="20"/>
                <w:szCs w:val="20"/>
                <w:lang w:val="uk-UA" w:eastAsia="ru-RU"/>
              </w:rPr>
              <w:lastRenderedPageBreak/>
              <w:t xml:space="preserve">професійної освіти  </w:t>
            </w:r>
          </w:p>
        </w:tc>
        <w:tc>
          <w:tcPr>
            <w:tcW w:w="991"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1.1. Популяризація серед населення престижності </w:t>
            </w:r>
            <w:r w:rsidRPr="00021C1F">
              <w:rPr>
                <w:rFonts w:ascii="Times New Roman" w:eastAsia="Times New Roman" w:hAnsi="Times New Roman" w:cs="Times New Roman"/>
                <w:sz w:val="20"/>
                <w:szCs w:val="20"/>
                <w:lang w:val="uk-UA" w:eastAsia="ru-RU"/>
              </w:rPr>
              <w:lastRenderedPageBreak/>
              <w:t xml:space="preserve">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676"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w:t>
            </w:r>
            <w:r w:rsidRPr="00021C1F">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2025-2027</w:t>
            </w:r>
          </w:p>
        </w:tc>
        <w:tc>
          <w:tcPr>
            <w:tcW w:w="466"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w:t>
            </w:r>
            <w:r w:rsidRPr="00021C1F">
              <w:rPr>
                <w:rFonts w:ascii="Times New Roman" w:eastAsia="Times New Roman" w:hAnsi="Times New Roman" w:cs="Times New Roman"/>
                <w:sz w:val="20"/>
                <w:szCs w:val="20"/>
                <w:lang w:val="uk-UA" w:eastAsia="ru-RU"/>
              </w:rPr>
              <w:lastRenderedPageBreak/>
              <w:t xml:space="preserve">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576"/>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521"/>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305"/>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022BBB">
        <w:trPr>
          <w:gridAfter w:val="1"/>
          <w:wAfter w:w="10" w:type="pct"/>
          <w:trHeight w:val="415"/>
        </w:trPr>
        <w:tc>
          <w:tcPr>
            <w:tcW w:w="572"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 Модернізація мережі закладів освіти та покращення  якості надання освітніх послуг</w:t>
            </w:r>
          </w:p>
        </w:tc>
        <w:tc>
          <w:tcPr>
            <w:tcW w:w="991"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2.1. Створення на базі закладів професійної (професійно-технічної) освіти навчально-практичних центрів за галузевим спрямуванням</w:t>
            </w:r>
          </w:p>
        </w:tc>
        <w:tc>
          <w:tcPr>
            <w:tcW w:w="67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центрів на базі закладів професійної (професійно-технічної) освіти навчально-практичних центрів за галузевим спрямуванням </w:t>
            </w:r>
          </w:p>
        </w:tc>
      </w:tr>
      <w:tr w:rsidR="009060A2" w:rsidRPr="00317600" w:rsidTr="00022BBB">
        <w:trPr>
          <w:gridAfter w:val="1"/>
          <w:wAfter w:w="10"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48" w:type="pct"/>
            <w:gridSpan w:val="8"/>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59"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510"/>
        </w:trPr>
        <w:tc>
          <w:tcPr>
            <w:tcW w:w="572"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441"/>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E70200" w:rsidTr="00022BBB">
        <w:trPr>
          <w:gridAfter w:val="1"/>
          <w:wAfter w:w="10" w:type="pct"/>
          <w:trHeight w:val="510"/>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67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9060A2" w:rsidRPr="00317600" w:rsidTr="00022BBB">
        <w:trPr>
          <w:gridAfter w:val="1"/>
          <w:wAfter w:w="10" w:type="pct"/>
          <w:trHeight w:val="322"/>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229"/>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120"/>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022BBB">
        <w:trPr>
          <w:gridAfter w:val="1"/>
          <w:wAfter w:w="10" w:type="pct"/>
          <w:trHeight w:val="181"/>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31"/>
        </w:trPr>
        <w:tc>
          <w:tcPr>
            <w:tcW w:w="2239"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lastRenderedPageBreak/>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74"/>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9"/>
        </w:trPr>
        <w:tc>
          <w:tcPr>
            <w:tcW w:w="2239"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8" w:type="pct"/>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7"/>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restart"/>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022BBB">
        <w:trPr>
          <w:gridAfter w:val="1"/>
          <w:wAfter w:w="10" w:type="pct"/>
          <w:trHeight w:val="244"/>
        </w:trPr>
        <w:tc>
          <w:tcPr>
            <w:tcW w:w="4990" w:type="pct"/>
            <w:gridSpan w:val="27"/>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022BBB" w:rsidRPr="0003643B" w:rsidTr="00022BBB">
        <w:trPr>
          <w:gridAfter w:val="1"/>
          <w:wAfter w:w="10" w:type="pct"/>
          <w:trHeight w:val="627"/>
        </w:trPr>
        <w:tc>
          <w:tcPr>
            <w:tcW w:w="572"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t xml:space="preserve">пожежної та техногенної безпеки в закладах освіти </w:t>
            </w:r>
          </w:p>
        </w:tc>
        <w:tc>
          <w:tcPr>
            <w:tcW w:w="991"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w:t>
            </w:r>
            <w:r w:rsidR="00527DA6">
              <w:rPr>
                <w:rFonts w:ascii="Times New Roman" w:eastAsia="Times New Roman" w:hAnsi="Times New Roman" w:cs="Times New Roman"/>
                <w:sz w:val="20"/>
                <w:szCs w:val="20"/>
                <w:lang w:val="uk-UA" w:eastAsia="ru-RU"/>
              </w:rPr>
              <w:t>,</w:t>
            </w:r>
            <w:r w:rsidRPr="00991232">
              <w:rPr>
                <w:rFonts w:ascii="Times New Roman" w:eastAsia="Times New Roman" w:hAnsi="Times New Roman" w:cs="Times New Roman"/>
                <w:sz w:val="20"/>
                <w:szCs w:val="20"/>
                <w:lang w:val="uk-UA" w:eastAsia="ru-RU"/>
              </w:rPr>
              <w:t xml:space="preserve">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676"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24987,795</w:t>
            </w:r>
          </w:p>
        </w:tc>
        <w:tc>
          <w:tcPr>
            <w:tcW w:w="348" w:type="pct"/>
            <w:gridSpan w:val="8"/>
            <w:shd w:val="clear" w:color="auto" w:fill="auto"/>
            <w:vAlign w:val="center"/>
          </w:tcPr>
          <w:p w:rsidR="00991232" w:rsidRPr="00991232" w:rsidRDefault="00247A32" w:rsidP="0003643B">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991232" w:rsidRDefault="00991232" w:rsidP="00E26C54">
            <w:pPr>
              <w:spacing w:after="0" w:line="187"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007D50"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36763,495</w:t>
            </w:r>
          </w:p>
        </w:tc>
        <w:tc>
          <w:tcPr>
            <w:tcW w:w="468" w:type="pct"/>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Створення безпечних умов перебування у 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66"/>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0971B5" w:rsidRDefault="009B1F9D" w:rsidP="00E26C54">
            <w:pPr>
              <w:spacing w:after="0" w:line="192" w:lineRule="auto"/>
              <w:jc w:val="center"/>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991232" w:rsidRPr="00840A95" w:rsidRDefault="00247A32" w:rsidP="00301FEF">
            <w:pPr>
              <w:spacing w:after="0" w:line="192" w:lineRule="auto"/>
              <w:ind w:right="-51"/>
              <w:jc w:val="center"/>
              <w:rPr>
                <w:rFonts w:ascii="Times New Roman" w:eastAsia="Times New Roman" w:hAnsi="Times New Roman" w:cs="Times New Roman"/>
                <w:sz w:val="20"/>
                <w:szCs w:val="20"/>
                <w:highlight w:val="yellow"/>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4E2C04" w:rsidRDefault="00991232" w:rsidP="00570B4C">
            <w:pPr>
              <w:spacing w:after="0" w:line="192" w:lineRule="auto"/>
              <w:jc w:val="center"/>
              <w:rPr>
                <w:rFonts w:ascii="Times New Roman" w:eastAsia="Times New Roman" w:hAnsi="Times New Roman" w:cs="Times New Roman"/>
                <w:sz w:val="20"/>
                <w:szCs w:val="20"/>
                <w:highlight w:val="yellow"/>
                <w:lang w:val="uk-UA" w:eastAsia="ru-RU"/>
              </w:rPr>
            </w:pPr>
          </w:p>
        </w:tc>
        <w:tc>
          <w:tcPr>
            <w:tcW w:w="480" w:type="pct"/>
            <w:gridSpan w:val="5"/>
            <w:shd w:val="clear" w:color="auto" w:fill="auto"/>
            <w:vAlign w:val="center"/>
          </w:tcPr>
          <w:p w:rsidR="00991232" w:rsidRPr="00991232" w:rsidRDefault="00247A32" w:rsidP="0003643B">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23775,7</w:t>
            </w:r>
          </w:p>
        </w:tc>
        <w:tc>
          <w:tcPr>
            <w:tcW w:w="468"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762"/>
        </w:trPr>
        <w:tc>
          <w:tcPr>
            <w:tcW w:w="572"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683678" w:rsidTr="00022BBB">
        <w:trPr>
          <w:gridAfter w:val="1"/>
          <w:wAfter w:w="10" w:type="pct"/>
          <w:trHeight w:val="510"/>
        </w:trPr>
        <w:tc>
          <w:tcPr>
            <w:tcW w:w="572"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2. Будівництво, реконструкція, капітальні ремонти в закладах освіти </w:t>
            </w:r>
            <w:r w:rsidRPr="00B95F6E">
              <w:rPr>
                <w:rFonts w:ascii="Times New Roman" w:eastAsia="Times New Roman" w:hAnsi="Times New Roman" w:cs="Times New Roman"/>
                <w:sz w:val="20"/>
                <w:szCs w:val="20"/>
                <w:lang w:val="uk-UA" w:eastAsia="ru-RU"/>
              </w:rPr>
              <w:lastRenderedPageBreak/>
              <w:t>області (у тому числі виготовлення проєктної документації)</w:t>
            </w:r>
          </w:p>
        </w:tc>
        <w:tc>
          <w:tcPr>
            <w:tcW w:w="991" w:type="pct"/>
            <w:gridSpan w:val="2"/>
            <w:vMerge w:val="restart"/>
            <w:shd w:val="clear" w:color="auto" w:fill="auto"/>
            <w:hideMark/>
          </w:tcPr>
          <w:p w:rsidR="00B95F6E" w:rsidRPr="00B95F6E" w:rsidRDefault="00B95F6E" w:rsidP="0078744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w:t>
            </w:r>
            <w:r w:rsidR="00787448">
              <w:rPr>
                <w:rFonts w:ascii="Times New Roman" w:eastAsia="Times New Roman" w:hAnsi="Times New Roman" w:cs="Times New Roman"/>
                <w:sz w:val="20"/>
                <w:szCs w:val="20"/>
                <w:lang w:val="uk-UA" w:eastAsia="ru-RU"/>
              </w:rPr>
              <w:t xml:space="preserve"> </w:t>
            </w:r>
            <w:r w:rsidRPr="00B95F6E">
              <w:rPr>
                <w:rFonts w:ascii="Times New Roman" w:eastAsia="Times New Roman" w:hAnsi="Times New Roman" w:cs="Times New Roman"/>
                <w:sz w:val="20"/>
                <w:szCs w:val="20"/>
                <w:lang w:val="uk-UA" w:eastAsia="ru-RU"/>
              </w:rPr>
              <w:t xml:space="preserve">закладів освіти, гуртожитків, з урахуванням </w:t>
            </w:r>
            <w:r w:rsidRPr="00B95F6E">
              <w:rPr>
                <w:rFonts w:ascii="Times New Roman" w:eastAsia="Times New Roman" w:hAnsi="Times New Roman" w:cs="Times New Roman"/>
                <w:sz w:val="20"/>
                <w:szCs w:val="20"/>
                <w:lang w:val="uk-UA" w:eastAsia="ru-RU"/>
              </w:rPr>
              <w:lastRenderedPageBreak/>
              <w:t>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B95F6E" w:rsidRPr="00527DA6" w:rsidRDefault="00B95F6E" w:rsidP="0068367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Поліпшення умов</w:t>
            </w:r>
            <w:r w:rsidRPr="00527DA6">
              <w:rPr>
                <w:rFonts w:ascii="Times New Roman" w:eastAsia="Times New Roman" w:hAnsi="Times New Roman" w:cs="Times New Roman"/>
                <w:sz w:val="20"/>
                <w:szCs w:val="20"/>
                <w:lang w:val="uk-UA" w:eastAsia="ru-RU"/>
              </w:rPr>
              <w:br/>
              <w:t>навчання та</w:t>
            </w:r>
            <w:r w:rsidRPr="00527DA6">
              <w:rPr>
                <w:rFonts w:ascii="Times New Roman" w:eastAsia="Times New Roman" w:hAnsi="Times New Roman" w:cs="Times New Roman"/>
                <w:sz w:val="20"/>
                <w:szCs w:val="20"/>
                <w:lang w:val="uk-UA" w:eastAsia="ru-RU"/>
              </w:rPr>
              <w:br/>
              <w:t xml:space="preserve">проживання студентів, </w:t>
            </w:r>
            <w:r w:rsidRPr="00527DA6">
              <w:rPr>
                <w:rFonts w:ascii="Times New Roman" w:eastAsia="Times New Roman" w:hAnsi="Times New Roman" w:cs="Times New Roman"/>
                <w:sz w:val="20"/>
                <w:szCs w:val="20"/>
                <w:lang w:val="uk-UA" w:eastAsia="ru-RU"/>
              </w:rPr>
              <w:lastRenderedPageBreak/>
              <w:t>учнів та в</w:t>
            </w:r>
            <w:r w:rsidR="00683678" w:rsidRPr="00527DA6">
              <w:rPr>
                <w:rFonts w:ascii="Times New Roman" w:eastAsia="Times New Roman" w:hAnsi="Times New Roman" w:cs="Times New Roman"/>
                <w:sz w:val="20"/>
                <w:szCs w:val="20"/>
                <w:lang w:val="uk-UA" w:eastAsia="ru-RU"/>
              </w:rPr>
              <w:t>ихованців закладів освіти</w:t>
            </w:r>
            <w:r w:rsidRPr="00527DA6">
              <w:rPr>
                <w:rFonts w:ascii="Times New Roman" w:eastAsia="Times New Roman" w:hAnsi="Times New Roman" w:cs="Times New Roman"/>
                <w:sz w:val="20"/>
                <w:szCs w:val="20"/>
                <w:lang w:val="uk-UA" w:eastAsia="ru-RU"/>
              </w:rPr>
              <w:t>, поліпшення</w:t>
            </w:r>
            <w:r w:rsidRPr="00527DA6">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022BBB" w:rsidRPr="00317600" w:rsidTr="00022BBB">
        <w:trPr>
          <w:gridAfter w:val="1"/>
          <w:wAfter w:w="10"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68"/>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9"/>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0"/>
        </w:trPr>
        <w:tc>
          <w:tcPr>
            <w:tcW w:w="572"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заходів та технологій у закладах освіти </w:t>
            </w:r>
          </w:p>
        </w:tc>
        <w:tc>
          <w:tcPr>
            <w:tcW w:w="99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w:t>
            </w:r>
            <w:r w:rsidR="00E70200">
              <w:rPr>
                <w:rFonts w:ascii="Times New Roman" w:eastAsia="Times New Roman" w:hAnsi="Times New Roman" w:cs="Times New Roman"/>
                <w:sz w:val="20"/>
                <w:szCs w:val="20"/>
                <w:lang w:val="uk-UA" w:eastAsia="ru-RU"/>
              </w:rPr>
              <w:t xml:space="preserve">нового будівництва, </w:t>
            </w:r>
            <w:r w:rsidRPr="00B95F6E">
              <w:rPr>
                <w:rFonts w:ascii="Times New Roman" w:eastAsia="Times New Roman" w:hAnsi="Times New Roman" w:cs="Times New Roman"/>
                <w:sz w:val="20"/>
                <w:szCs w:val="20"/>
                <w:lang w:val="uk-UA" w:eastAsia="ru-RU"/>
              </w:rPr>
              <w:t xml:space="preserve">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527DA6" w:rsidRDefault="00527DA6" w:rsidP="00D75C69">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9060A2" w:rsidRPr="00527DA6" w:rsidRDefault="009060A2" w:rsidP="009060A2">
            <w:pPr>
              <w:spacing w:after="0" w:line="216" w:lineRule="auto"/>
              <w:ind w:left="-140"/>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2426,207</w:t>
            </w:r>
          </w:p>
        </w:tc>
        <w:tc>
          <w:tcPr>
            <w:tcW w:w="359" w:type="pct"/>
            <w:gridSpan w:val="4"/>
            <w:shd w:val="clear" w:color="auto" w:fill="auto"/>
            <w:vAlign w:val="center"/>
          </w:tcPr>
          <w:p w:rsidR="00B95F6E" w:rsidRPr="00527DA6" w:rsidRDefault="00B95F6E" w:rsidP="00D75C69">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9060A2"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3252,207</w:t>
            </w:r>
          </w:p>
        </w:tc>
        <w:tc>
          <w:tcPr>
            <w:tcW w:w="468" w:type="pct"/>
            <w:vMerge w:val="restart"/>
            <w:shd w:val="clear" w:color="auto" w:fill="auto"/>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Зменшення витрат</w:t>
            </w:r>
            <w:r w:rsidRPr="00527DA6">
              <w:rPr>
                <w:rFonts w:ascii="Times New Roman" w:eastAsia="Times New Roman" w:hAnsi="Times New Roman" w:cs="Times New Roman"/>
                <w:sz w:val="20"/>
                <w:szCs w:val="20"/>
                <w:lang w:val="uk-UA" w:eastAsia="ru-RU"/>
              </w:rPr>
              <w:br/>
              <w:t>енергоносіїв, підвищення</w:t>
            </w:r>
            <w:r w:rsidRPr="00527DA6">
              <w:rPr>
                <w:rFonts w:ascii="Times New Roman" w:eastAsia="Times New Roman" w:hAnsi="Times New Roman" w:cs="Times New Roman"/>
                <w:sz w:val="20"/>
                <w:szCs w:val="20"/>
                <w:lang w:val="uk-UA" w:eastAsia="ru-RU"/>
              </w:rPr>
              <w:br/>
              <w:t xml:space="preserve">енерго-ефективності </w:t>
            </w:r>
            <w:r w:rsidRPr="00527DA6">
              <w:rPr>
                <w:rFonts w:ascii="Times New Roman" w:eastAsia="Times New Roman" w:hAnsi="Times New Roman" w:cs="Times New Roman"/>
                <w:sz w:val="20"/>
                <w:szCs w:val="20"/>
                <w:lang w:val="uk-UA" w:eastAsia="ru-RU"/>
              </w:rPr>
              <w:br/>
              <w:t xml:space="preserve">власних джерел теплопоста-чання, відключення від централізованих систем тепло-постачання, </w:t>
            </w:r>
            <w:r w:rsidRPr="00527DA6">
              <w:rPr>
                <w:rFonts w:ascii="Times New Roman" w:eastAsia="Times New Roman" w:hAnsi="Times New Roman" w:cs="Times New Roman"/>
                <w:sz w:val="20"/>
                <w:szCs w:val="20"/>
                <w:lang w:val="uk-UA" w:eastAsia="ru-RU"/>
              </w:rPr>
              <w:br/>
              <w:t xml:space="preserve">забезпечення </w:t>
            </w:r>
            <w:r w:rsidRPr="00527DA6">
              <w:rPr>
                <w:rFonts w:ascii="Times New Roman" w:eastAsia="Times New Roman" w:hAnsi="Times New Roman" w:cs="Times New Roman"/>
                <w:sz w:val="20"/>
                <w:szCs w:val="20"/>
                <w:lang w:val="uk-UA" w:eastAsia="ru-RU"/>
              </w:rPr>
              <w:br/>
              <w:t>безперебійного</w:t>
            </w:r>
            <w:r w:rsidRPr="00527DA6">
              <w:rPr>
                <w:rFonts w:ascii="Times New Roman" w:eastAsia="Times New Roman" w:hAnsi="Times New Roman" w:cs="Times New Roman"/>
                <w:sz w:val="20"/>
                <w:szCs w:val="20"/>
                <w:lang w:val="uk-UA" w:eastAsia="ru-RU"/>
              </w:rPr>
              <w:br/>
              <w:t>функціонування</w:t>
            </w:r>
            <w:r w:rsidRPr="00527DA6">
              <w:rPr>
                <w:rFonts w:ascii="Times New Roman" w:eastAsia="Times New Roman" w:hAnsi="Times New Roman" w:cs="Times New Roman"/>
                <w:sz w:val="20"/>
                <w:szCs w:val="20"/>
                <w:lang w:val="uk-UA" w:eastAsia="ru-RU"/>
              </w:rPr>
              <w:br/>
              <w:t xml:space="preserve">установ </w:t>
            </w:r>
          </w:p>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освіти та </w:t>
            </w:r>
            <w:r w:rsidRPr="00527DA6">
              <w:rPr>
                <w:rFonts w:ascii="Times New Roman" w:eastAsia="Times New Roman" w:hAnsi="Times New Roman" w:cs="Times New Roman"/>
                <w:sz w:val="20"/>
                <w:szCs w:val="20"/>
                <w:lang w:val="uk-UA" w:eastAsia="ru-RU"/>
              </w:rPr>
              <w:br/>
              <w:t>поліпшення їх</w:t>
            </w:r>
            <w:r w:rsidRPr="00527DA6">
              <w:rPr>
                <w:rFonts w:ascii="Times New Roman" w:eastAsia="Times New Roman" w:hAnsi="Times New Roman" w:cs="Times New Roman"/>
                <w:sz w:val="20"/>
                <w:szCs w:val="20"/>
                <w:lang w:val="uk-UA" w:eastAsia="ru-RU"/>
              </w:rPr>
              <w:br/>
              <w:t xml:space="preserve">експлуатаційних </w:t>
            </w:r>
            <w:r w:rsidRPr="00527DA6">
              <w:rPr>
                <w:rFonts w:ascii="Times New Roman" w:eastAsia="Times New Roman" w:hAnsi="Times New Roman" w:cs="Times New Roman"/>
                <w:sz w:val="20"/>
                <w:szCs w:val="20"/>
                <w:lang w:val="uk-UA" w:eastAsia="ru-RU"/>
              </w:rPr>
              <w:br/>
              <w:t>характеристик</w:t>
            </w:r>
          </w:p>
        </w:tc>
      </w:tr>
      <w:tr w:rsidR="00022BBB" w:rsidRPr="00317600" w:rsidTr="00022BBB">
        <w:trPr>
          <w:gridAfter w:val="1"/>
          <w:wAfter w:w="10" w:type="pct"/>
          <w:trHeight w:val="70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8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20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527DA6" w:rsidRDefault="00527DA6" w:rsidP="00840A95">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B95F6E" w:rsidRPr="00527DA6" w:rsidRDefault="009060A2" w:rsidP="009060A2">
            <w:pPr>
              <w:spacing w:after="0" w:line="216" w:lineRule="auto"/>
              <w:ind w:left="-140" w:right="-5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2426,207</w:t>
            </w:r>
          </w:p>
        </w:tc>
        <w:tc>
          <w:tcPr>
            <w:tcW w:w="359" w:type="pct"/>
            <w:gridSpan w:val="4"/>
            <w:shd w:val="clear" w:color="auto" w:fill="auto"/>
            <w:vAlign w:val="center"/>
          </w:tcPr>
          <w:p w:rsidR="00B95F6E" w:rsidRPr="00527DA6" w:rsidRDefault="00B95F6E" w:rsidP="00840A95">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527DA6" w:rsidRDefault="009060A2" w:rsidP="00840A9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3252,207</w:t>
            </w:r>
          </w:p>
        </w:tc>
        <w:tc>
          <w:tcPr>
            <w:tcW w:w="468"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88"/>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E70200" w:rsidTr="00022BBB">
        <w:trPr>
          <w:gridAfter w:val="1"/>
          <w:wAfter w:w="10" w:type="pct"/>
          <w:trHeight w:val="51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67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9570B" w:rsidRPr="00DA3E41"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348" w:type="pct"/>
            <w:gridSpan w:val="8"/>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468" w:type="pct"/>
            <w:vMerge w:val="restart"/>
            <w:shd w:val="clear" w:color="auto" w:fill="auto"/>
            <w:hideMark/>
          </w:tcPr>
          <w:p w:rsidR="00B95F6E" w:rsidRPr="000971B5" w:rsidRDefault="00B95F6E" w:rsidP="00D75C69">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витрат </w:t>
            </w:r>
            <w:r w:rsidRPr="000971B5">
              <w:rPr>
                <w:rFonts w:ascii="Times New Roman" w:eastAsia="Times New Roman" w:hAnsi="Times New Roman" w:cs="Times New Roman"/>
                <w:sz w:val="20"/>
                <w:szCs w:val="20"/>
                <w:lang w:val="uk-UA" w:eastAsia="ru-RU"/>
              </w:rPr>
              <w:br/>
              <w:t xml:space="preserve">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 xml:space="preserve">функціонування </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022BBB">
        <w:trPr>
          <w:gridAfter w:val="1"/>
          <w:wAfter w:w="10" w:type="pct"/>
          <w:trHeight w:val="533"/>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69"/>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348" w:type="pct"/>
            <w:gridSpan w:val="8"/>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1"/>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348" w:type="pct"/>
            <w:gridSpan w:val="8"/>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468"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77"/>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56"/>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67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8" w:type="pct"/>
            <w:vMerge w:val="restart"/>
            <w:shd w:val="clear" w:color="auto" w:fill="auto"/>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w:t>
            </w:r>
            <w:r w:rsidRPr="000971B5">
              <w:rPr>
                <w:rFonts w:ascii="Times New Roman" w:eastAsia="Times New Roman" w:hAnsi="Times New Roman" w:cs="Times New Roman"/>
                <w:sz w:val="20"/>
                <w:szCs w:val="20"/>
                <w:lang w:val="uk-UA" w:eastAsia="ru-RU"/>
              </w:rPr>
              <w:br/>
              <w:t xml:space="preserve">витрат 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br/>
              <w:t xml:space="preserve">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функціонування</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022BBB">
        <w:trPr>
          <w:gridAfter w:val="1"/>
          <w:wAfter w:w="10" w:type="pct"/>
          <w:trHeight w:val="42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03"/>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1"/>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8B40DD">
            <w:pPr>
              <w:spacing w:after="0" w:line="216"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8"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8"/>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947AB5">
            <w:pPr>
              <w:spacing w:after="0" w:line="216"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8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67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B95F6E" w:rsidRPr="000971B5" w:rsidRDefault="00B95F6E" w:rsidP="0057397F">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енерго-збереження”, „Про енергетичну ефективність будівель”</w:t>
            </w:r>
          </w:p>
        </w:tc>
      </w:tr>
      <w:tr w:rsidR="00022BBB" w:rsidRPr="00317600" w:rsidTr="00022BBB">
        <w:trPr>
          <w:gridAfter w:val="1"/>
          <w:wAfter w:w="10" w:type="pct"/>
          <w:trHeight w:val="40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8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9"/>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70200" w:rsidTr="00022BBB">
        <w:trPr>
          <w:gridAfter w:val="1"/>
          <w:wAfter w:w="10" w:type="pct"/>
          <w:trHeight w:val="415"/>
        </w:trPr>
        <w:tc>
          <w:tcPr>
            <w:tcW w:w="572"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4. Здійснення заходів щодо забезпечення дотримання вимог чинних нормативно-правових актів стосовно енергозбереження</w:t>
            </w:r>
          </w:p>
        </w:tc>
        <w:tc>
          <w:tcPr>
            <w:tcW w:w="991"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676"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76554" w:rsidRPr="000971B5" w:rsidRDefault="00276554" w:rsidP="00276554">
            <w:pPr>
              <w:spacing w:after="0" w:line="192"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0971B5">
              <w:rPr>
                <w:rFonts w:ascii="Times New Roman" w:eastAsia="Times New Roman" w:hAnsi="Times New Roman" w:cs="Times New Roman"/>
                <w:sz w:val="20"/>
                <w:szCs w:val="20"/>
                <w:lang w:val="uk-UA" w:eastAsia="ru-RU"/>
              </w:rPr>
              <w:br/>
              <w:t xml:space="preserve">енергоресурсів та </w:t>
            </w:r>
            <w:r w:rsidRPr="000971B5">
              <w:rPr>
                <w:rFonts w:ascii="Times New Roman" w:eastAsia="Times New Roman" w:hAnsi="Times New Roman" w:cs="Times New Roman"/>
                <w:sz w:val="20"/>
                <w:szCs w:val="20"/>
                <w:lang w:val="uk-UA" w:eastAsia="ru-RU"/>
              </w:rPr>
              <w:br/>
              <w:t xml:space="preserve">раціонального </w:t>
            </w:r>
            <w:r w:rsidRPr="000971B5">
              <w:rPr>
                <w:rFonts w:ascii="Times New Roman" w:eastAsia="Times New Roman" w:hAnsi="Times New Roman" w:cs="Times New Roman"/>
                <w:sz w:val="20"/>
                <w:szCs w:val="20"/>
                <w:lang w:val="uk-UA" w:eastAsia="ru-RU"/>
              </w:rPr>
              <w:br/>
              <w:t>енергокористування</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63"/>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911"/>
        </w:trPr>
        <w:tc>
          <w:tcPr>
            <w:tcW w:w="572"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991"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C90193" w:rsidRDefault="00C90193" w:rsidP="00571633">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16690,6</w:t>
            </w:r>
          </w:p>
        </w:tc>
        <w:tc>
          <w:tcPr>
            <w:tcW w:w="348" w:type="pct"/>
            <w:gridSpan w:val="8"/>
            <w:shd w:val="clear" w:color="auto" w:fill="auto"/>
            <w:vAlign w:val="center"/>
          </w:tcPr>
          <w:p w:rsidR="00276554" w:rsidRPr="00C90193" w:rsidRDefault="002D4CCF"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359" w:type="pct"/>
            <w:gridSpan w:val="4"/>
            <w:shd w:val="clear" w:color="auto" w:fill="auto"/>
            <w:vAlign w:val="center"/>
          </w:tcPr>
          <w:p w:rsidR="00276554" w:rsidRPr="00C90193" w:rsidRDefault="00276554" w:rsidP="00571633">
            <w:pPr>
              <w:spacing w:after="0" w:line="192" w:lineRule="auto"/>
              <w:ind w:right="-68"/>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C90193" w:rsidRDefault="00C90193" w:rsidP="002D4CCF">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w:t>
            </w:r>
            <w:r w:rsidR="002D4CCF">
              <w:rPr>
                <w:rFonts w:ascii="Times New Roman" w:eastAsia="Times New Roman" w:hAnsi="Times New Roman" w:cs="Times New Roman"/>
                <w:sz w:val="20"/>
                <w:szCs w:val="20"/>
                <w:lang w:val="uk-UA" w:eastAsia="ru-RU"/>
              </w:rPr>
              <w:t>8</w:t>
            </w:r>
            <w:r w:rsidRPr="00C90193">
              <w:rPr>
                <w:rFonts w:ascii="Times New Roman" w:eastAsia="Times New Roman" w:hAnsi="Times New Roman" w:cs="Times New Roman"/>
                <w:sz w:val="20"/>
                <w:szCs w:val="20"/>
                <w:lang w:val="uk-UA" w:eastAsia="ru-RU"/>
              </w:rPr>
              <w:t>90,6</w:t>
            </w:r>
          </w:p>
        </w:tc>
        <w:tc>
          <w:tcPr>
            <w:tcW w:w="468"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мотивації до пізнання, творчості та саморозвитку </w:t>
            </w:r>
            <w:r w:rsidRPr="009F5F1B">
              <w:rPr>
                <w:rFonts w:ascii="Times New Roman" w:eastAsia="Times New Roman" w:hAnsi="Times New Roman" w:cs="Times New Roman"/>
                <w:sz w:val="20"/>
                <w:szCs w:val="20"/>
                <w:lang w:val="uk-UA" w:eastAsia="ru-RU"/>
              </w:rPr>
              <w:lastRenderedPageBreak/>
              <w:t>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022BBB" w:rsidRPr="00317600" w:rsidTr="00022BBB">
        <w:trPr>
          <w:gridAfter w:val="1"/>
          <w:wAfter w:w="10" w:type="pct"/>
          <w:trHeight w:val="120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348" w:type="pct"/>
            <w:gridSpan w:val="8"/>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C73540" w:rsidRDefault="00276554" w:rsidP="00C7354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29"/>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1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6705A0" w:rsidRDefault="00EE3963"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276554" w:rsidRPr="002D4CCF" w:rsidRDefault="002D4CCF" w:rsidP="008B40DD">
            <w:pPr>
              <w:spacing w:after="0" w:line="192" w:lineRule="auto"/>
              <w:jc w:val="center"/>
              <w:rPr>
                <w:rFonts w:ascii="Times New Roman" w:eastAsia="Times New Roman" w:hAnsi="Times New Roman" w:cs="Times New Roman"/>
                <w:sz w:val="20"/>
                <w:szCs w:val="20"/>
                <w:lang w:val="uk-UA" w:eastAsia="ru-RU"/>
              </w:rPr>
            </w:pPr>
            <w:r w:rsidRPr="002D4CCF">
              <w:rPr>
                <w:rFonts w:ascii="Times New Roman" w:eastAsia="Times New Roman" w:hAnsi="Times New Roman" w:cs="Times New Roman"/>
                <w:sz w:val="20"/>
                <w:szCs w:val="20"/>
                <w:lang w:val="uk-UA" w:eastAsia="ru-RU"/>
              </w:rPr>
              <w:t>200,0</w:t>
            </w:r>
          </w:p>
        </w:tc>
        <w:tc>
          <w:tcPr>
            <w:tcW w:w="359" w:type="pct"/>
            <w:gridSpan w:val="4"/>
            <w:shd w:val="clear" w:color="auto" w:fill="auto"/>
            <w:vAlign w:val="center"/>
          </w:tcPr>
          <w:p w:rsidR="00276554" w:rsidRPr="004E2C04" w:rsidRDefault="00276554" w:rsidP="008B40DD">
            <w:pPr>
              <w:spacing w:after="0" w:line="192" w:lineRule="auto"/>
              <w:ind w:right="-68"/>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EE3963" w:rsidRDefault="00EE3963" w:rsidP="002D4CCF">
            <w:pPr>
              <w:spacing w:after="0" w:line="192" w:lineRule="auto"/>
              <w:jc w:val="center"/>
              <w:rPr>
                <w:rFonts w:ascii="Times New Roman" w:eastAsia="Times New Roman" w:hAnsi="Times New Roman" w:cs="Times New Roman"/>
                <w:sz w:val="20"/>
                <w:szCs w:val="20"/>
                <w:lang w:val="uk-UA" w:eastAsia="ru-RU"/>
              </w:rPr>
            </w:pPr>
            <w:r w:rsidRPr="00EE3963">
              <w:rPr>
                <w:rFonts w:ascii="Times New Roman" w:eastAsia="Times New Roman" w:hAnsi="Times New Roman" w:cs="Times New Roman"/>
                <w:sz w:val="20"/>
                <w:szCs w:val="20"/>
                <w:lang w:val="uk-UA" w:eastAsia="ru-RU"/>
              </w:rPr>
              <w:t>12</w:t>
            </w:r>
            <w:r w:rsidR="002D4CCF">
              <w:rPr>
                <w:rFonts w:ascii="Times New Roman" w:eastAsia="Times New Roman" w:hAnsi="Times New Roman" w:cs="Times New Roman"/>
                <w:sz w:val="20"/>
                <w:szCs w:val="20"/>
                <w:lang w:val="uk-UA" w:eastAsia="ru-RU"/>
              </w:rPr>
              <w:t>2</w:t>
            </w:r>
            <w:r w:rsidRPr="00EE3963">
              <w:rPr>
                <w:rFonts w:ascii="Times New Roman" w:eastAsia="Times New Roman" w:hAnsi="Times New Roman" w:cs="Times New Roman"/>
                <w:sz w:val="20"/>
                <w:szCs w:val="20"/>
                <w:lang w:val="uk-UA" w:eastAsia="ru-RU"/>
              </w:rPr>
              <w:t>00,0</w:t>
            </w:r>
          </w:p>
        </w:tc>
        <w:tc>
          <w:tcPr>
            <w:tcW w:w="468"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517527" w:rsidRDefault="00571633"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3000,0</w:t>
            </w:r>
          </w:p>
        </w:tc>
        <w:tc>
          <w:tcPr>
            <w:tcW w:w="348" w:type="pct"/>
            <w:gridSpan w:val="8"/>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517527" w:rsidRDefault="00517527"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w:t>
            </w:r>
            <w:r w:rsidR="00571633" w:rsidRPr="00517527">
              <w:rPr>
                <w:rFonts w:ascii="Times New Roman" w:eastAsia="Times New Roman" w:hAnsi="Times New Roman" w:cs="Times New Roman"/>
                <w:sz w:val="20"/>
                <w:szCs w:val="20"/>
                <w:lang w:val="uk-UA" w:eastAsia="ru-RU"/>
              </w:rPr>
              <w:t>000,0</w:t>
            </w:r>
          </w:p>
        </w:tc>
        <w:tc>
          <w:tcPr>
            <w:tcW w:w="468" w:type="pct"/>
            <w:vMerge/>
            <w:vAlign w:val="center"/>
            <w:hideMark/>
          </w:tcPr>
          <w:p w:rsidR="001E24DA" w:rsidRPr="009F5F1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511CB9" w:rsidRDefault="00511CB9" w:rsidP="007855D8">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8"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022BBB" w:rsidRPr="00317600" w:rsidTr="00022BBB">
        <w:trPr>
          <w:gridAfter w:val="1"/>
          <w:wAfter w:w="10" w:type="pct"/>
          <w:trHeight w:val="58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6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47"/>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(професійно-технічної) та фахової передвищої освіти </w:t>
            </w:r>
            <w:r w:rsidRPr="00276554">
              <w:rPr>
                <w:rFonts w:ascii="Times New Roman" w:eastAsia="Times New Roman" w:hAnsi="Times New Roman" w:cs="Times New Roman"/>
                <w:sz w:val="20"/>
                <w:szCs w:val="20"/>
                <w:lang w:val="uk-UA" w:eastAsia="ru-RU"/>
              </w:rPr>
              <w:lastRenderedPageBreak/>
              <w:t>транспортними засобами з метою організації підвезення учнів та працівників до місця навчання та у зворотному напрямку</w:t>
            </w:r>
          </w:p>
        </w:tc>
        <w:tc>
          <w:tcPr>
            <w:tcW w:w="991"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2D71E0">
            <w:pPr>
              <w:spacing w:after="0" w:line="192" w:lineRule="auto"/>
              <w:ind w:right="-51"/>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DA3E41" w:rsidP="002D71E0">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8" w:type="pct"/>
            <w:vMerge w:val="restart"/>
            <w:shd w:val="clear" w:color="auto" w:fill="auto"/>
            <w:hideMark/>
          </w:tcPr>
          <w:p w:rsidR="00276554" w:rsidRPr="00511CB9" w:rsidRDefault="00276554" w:rsidP="00276554">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2D71E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276554"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67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w:t>
            </w:r>
            <w:r w:rsidRPr="00511CB9">
              <w:rPr>
                <w:rFonts w:ascii="Times New Roman" w:eastAsia="Times New Roman" w:hAnsi="Times New Roman" w:cs="Times New Roman"/>
                <w:sz w:val="20"/>
                <w:szCs w:val="20"/>
                <w:lang w:val="uk-UA" w:eastAsia="ru-RU"/>
              </w:rPr>
              <w:lastRenderedPageBreak/>
              <w:t xml:space="preserve">рівня надання освітніх послуг відповідно до сучасних стандартів </w:t>
            </w:r>
          </w:p>
        </w:tc>
      </w:tr>
      <w:tr w:rsidR="00022BBB" w:rsidRPr="00317600" w:rsidTr="00022BBB">
        <w:trPr>
          <w:gridAfter w:val="1"/>
          <w:wAfter w:w="10"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1"/>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67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468"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022BBB" w:rsidRPr="00317600" w:rsidTr="00022BBB">
        <w:trPr>
          <w:gridAfter w:val="1"/>
          <w:wAfter w:w="10"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3"/>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4"/>
        </w:trPr>
        <w:tc>
          <w:tcPr>
            <w:tcW w:w="5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468"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131"/>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67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76554" w:rsidRPr="00302248" w:rsidRDefault="00276554" w:rsidP="00DD2AA5">
            <w:pPr>
              <w:spacing w:after="0" w:line="192" w:lineRule="auto"/>
              <w:rPr>
                <w:rFonts w:ascii="Times New Roman" w:eastAsia="Times New Roman" w:hAnsi="Times New Roman" w:cs="Times New Roman"/>
                <w:sz w:val="20"/>
                <w:szCs w:val="20"/>
                <w:lang w:val="uk-UA" w:eastAsia="ru-RU"/>
              </w:rPr>
            </w:pPr>
            <w:r w:rsidRPr="00302248">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022BBB" w:rsidRPr="00317600" w:rsidTr="00022BBB">
        <w:trPr>
          <w:gridAfter w:val="1"/>
          <w:wAfter w:w="10"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85"/>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34"/>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920820" w:rsidRPr="004E2C04" w:rsidRDefault="00920820" w:rsidP="00920820">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76554" w:rsidRPr="007957FD" w:rsidRDefault="002C6516"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48403,418</w:t>
            </w:r>
          </w:p>
        </w:tc>
        <w:tc>
          <w:tcPr>
            <w:tcW w:w="348" w:type="pct"/>
            <w:gridSpan w:val="8"/>
            <w:shd w:val="clear" w:color="auto" w:fill="auto"/>
            <w:vAlign w:val="center"/>
          </w:tcPr>
          <w:p w:rsidR="00276554" w:rsidRPr="007957FD" w:rsidRDefault="00956B15" w:rsidP="007B6348">
            <w:pPr>
              <w:spacing w:after="0" w:line="192" w:lineRule="auto"/>
              <w:ind w:right="-10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15731,907</w:t>
            </w:r>
          </w:p>
        </w:tc>
        <w:tc>
          <w:tcPr>
            <w:tcW w:w="359" w:type="pct"/>
            <w:gridSpan w:val="4"/>
            <w:shd w:val="clear" w:color="auto" w:fill="auto"/>
            <w:vAlign w:val="center"/>
          </w:tcPr>
          <w:p w:rsidR="00276554" w:rsidRPr="007957FD" w:rsidRDefault="00276554" w:rsidP="007855D8">
            <w:pPr>
              <w:spacing w:after="0" w:line="192" w:lineRule="auto"/>
              <w:jc w:val="center"/>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956B15"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64135,325</w:t>
            </w:r>
          </w:p>
        </w:tc>
        <w:tc>
          <w:tcPr>
            <w:tcW w:w="531" w:type="pct"/>
            <w:gridSpan w:val="2"/>
            <w:vMerge w:val="restart"/>
            <w:shd w:val="clear" w:color="auto" w:fill="auto"/>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76554" w:rsidRDefault="00F7522C"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p w:rsidR="00F7522C" w:rsidRPr="007957FD" w:rsidRDefault="00F7522C" w:rsidP="007B6348">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8"/>
            <w:shd w:val="clear" w:color="auto" w:fill="auto"/>
            <w:vAlign w:val="center"/>
          </w:tcPr>
          <w:p w:rsidR="00276554" w:rsidRPr="007957FD" w:rsidRDefault="00276554" w:rsidP="007D705B">
            <w:pPr>
              <w:spacing w:after="0" w:line="192" w:lineRule="auto"/>
              <w:ind w:right="-23"/>
              <w:rPr>
                <w:rFonts w:ascii="Times New Roman" w:eastAsia="Times New Roman" w:hAnsi="Times New Roman" w:cs="Times New Roman"/>
                <w:bCs/>
                <w:sz w:val="20"/>
                <w:szCs w:val="20"/>
                <w:lang w:val="uk-UA" w:eastAsia="ru-RU"/>
              </w:rPr>
            </w:pP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F7522C" w:rsidP="007D705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348" w:type="pct"/>
            <w:gridSpan w:val="8"/>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7957FD"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25126,0</w:t>
            </w:r>
          </w:p>
        </w:tc>
        <w:tc>
          <w:tcPr>
            <w:tcW w:w="348" w:type="pct"/>
            <w:gridSpan w:val="8"/>
            <w:shd w:val="clear" w:color="auto" w:fill="auto"/>
            <w:vAlign w:val="center"/>
          </w:tcPr>
          <w:p w:rsidR="00276554" w:rsidRPr="007957FD" w:rsidRDefault="00956B15" w:rsidP="0071266B">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15731,907</w:t>
            </w: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956B15"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40857,907</w:t>
            </w:r>
          </w:p>
        </w:tc>
        <w:tc>
          <w:tcPr>
            <w:tcW w:w="531" w:type="pct"/>
            <w:gridSpan w:val="2"/>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7957FD" w:rsidRDefault="002C6516" w:rsidP="007B634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348" w:type="pct"/>
            <w:gridSpan w:val="8"/>
            <w:shd w:val="clear" w:color="auto" w:fill="auto"/>
            <w:vAlign w:val="center"/>
            <w:hideMark/>
          </w:tcPr>
          <w:p w:rsidR="001E24DA" w:rsidRPr="007957FD" w:rsidRDefault="001E24DA" w:rsidP="007D705B">
            <w:pPr>
              <w:spacing w:after="0" w:line="192" w:lineRule="auto"/>
              <w:ind w:right="-23"/>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7957FD"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hideMark/>
          </w:tcPr>
          <w:p w:rsidR="001E24DA" w:rsidRPr="007957FD" w:rsidRDefault="002C6516"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531" w:type="pct"/>
            <w:gridSpan w:val="2"/>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022BBB">
        <w:trPr>
          <w:gridAfter w:val="1"/>
          <w:wAfter w:w="10" w:type="pct"/>
          <w:trHeight w:val="540"/>
        </w:trPr>
        <w:tc>
          <w:tcPr>
            <w:tcW w:w="4990" w:type="pct"/>
            <w:gridSpan w:val="27"/>
            <w:shd w:val="clear" w:color="auto" w:fill="auto"/>
            <w:vAlign w:val="center"/>
            <w:hideMark/>
          </w:tcPr>
          <w:p w:rsidR="001E24DA" w:rsidRPr="00527DA6"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527DA6">
              <w:rPr>
                <w:rFonts w:ascii="Times New Roman" w:eastAsia="Times New Roman" w:hAnsi="Times New Roman" w:cs="Times New Roman"/>
                <w:b/>
                <w:bCs/>
                <w:sz w:val="20"/>
                <w:szCs w:val="20"/>
                <w:lang w:val="uk-UA" w:eastAsia="ru-RU"/>
              </w:rPr>
              <w:t xml:space="preserve">Проєкт 4. ”Єдиний інформаційно-освітній простір </w:t>
            </w:r>
            <w:r w:rsidR="000F4DC0" w:rsidRPr="00527DA6">
              <w:rPr>
                <w:rFonts w:ascii="Times New Roman" w:eastAsia="Times New Roman" w:hAnsi="Times New Roman" w:cs="Times New Roman"/>
                <w:b/>
                <w:bCs/>
                <w:sz w:val="20"/>
                <w:szCs w:val="20"/>
                <w:lang w:val="uk-UA" w:eastAsia="ru-RU"/>
              </w:rPr>
              <w:t>Верхньодніпровщини</w:t>
            </w:r>
            <w:r w:rsidRPr="00527DA6">
              <w:rPr>
                <w:rFonts w:ascii="Times New Roman" w:eastAsia="Times New Roman" w:hAnsi="Times New Roman" w:cs="Times New Roman"/>
                <w:b/>
                <w:bCs/>
                <w:sz w:val="20"/>
                <w:szCs w:val="20"/>
                <w:lang w:val="uk-UA" w:eastAsia="ru-RU"/>
              </w:rPr>
              <w:t>”</w:t>
            </w:r>
          </w:p>
        </w:tc>
      </w:tr>
      <w:tr w:rsidR="00022BBB" w:rsidRPr="00317600" w:rsidTr="00022BBB">
        <w:trPr>
          <w:gridAfter w:val="1"/>
          <w:wAfter w:w="10" w:type="pct"/>
          <w:trHeight w:val="800"/>
        </w:trPr>
        <w:tc>
          <w:tcPr>
            <w:tcW w:w="572"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lastRenderedPageBreak/>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991"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67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532" w:type="pct"/>
            <w:gridSpan w:val="3"/>
            <w:vMerge w:val="restart"/>
            <w:shd w:val="clear" w:color="auto" w:fill="auto"/>
            <w:hideMark/>
          </w:tcPr>
          <w:p w:rsidR="009C597B" w:rsidRPr="00527DA6" w:rsidRDefault="009C597B" w:rsidP="00DD2AA5">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2" w:type="pct"/>
            <w:gridSpan w:val="3"/>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9"/>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67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022BBB" w:rsidRPr="00317600" w:rsidTr="00022BBB">
        <w:trPr>
          <w:gridAfter w:val="1"/>
          <w:wAfter w:w="10"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06"/>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3"/>
        </w:trPr>
        <w:tc>
          <w:tcPr>
            <w:tcW w:w="2239"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320"/>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27"/>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6"/>
        </w:trPr>
        <w:tc>
          <w:tcPr>
            <w:tcW w:w="223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trHeight w:val="300"/>
        </w:trPr>
        <w:tc>
          <w:tcPr>
            <w:tcW w:w="2239"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8" w:type="pct"/>
            <w:gridSpan w:val="2"/>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022BBB">
        <w:trPr>
          <w:gridAfter w:val="1"/>
          <w:wAfter w:w="10" w:type="pct"/>
          <w:trHeight w:val="495"/>
        </w:trPr>
        <w:tc>
          <w:tcPr>
            <w:tcW w:w="4990" w:type="pct"/>
            <w:gridSpan w:val="27"/>
            <w:shd w:val="clear" w:color="auto" w:fill="auto"/>
            <w:vAlign w:val="center"/>
            <w:hideMark/>
          </w:tcPr>
          <w:p w:rsidR="001E24DA" w:rsidRPr="004E2C04"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022BBB" w:rsidRPr="00317600" w:rsidTr="00022BBB">
        <w:trPr>
          <w:gridAfter w:val="1"/>
          <w:wAfter w:w="10" w:type="pct"/>
          <w:trHeight w:val="510"/>
        </w:trPr>
        <w:tc>
          <w:tcPr>
            <w:tcW w:w="572"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 xml:space="preserve">1. Організація оздоровлення та відпочинку дітей, які потребують особливої соціальної уваги </w:t>
            </w:r>
            <w:r w:rsidR="00900E88" w:rsidRPr="009C597B">
              <w:rPr>
                <w:rFonts w:ascii="Times New Roman" w:eastAsia="Times New Roman" w:hAnsi="Times New Roman" w:cs="Times New Roman"/>
                <w:sz w:val="20"/>
                <w:szCs w:val="20"/>
                <w:lang w:val="uk-UA" w:eastAsia="ru-RU"/>
              </w:rPr>
              <w:lastRenderedPageBreak/>
              <w:t>та підтримки,  дітей пільгових категорій, обдарованих дітей</w:t>
            </w:r>
          </w:p>
        </w:tc>
        <w:tc>
          <w:tcPr>
            <w:tcW w:w="991"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lastRenderedPageBreak/>
              <w:t>1.1. Сприяння функціонуванню центрів соціальної реабілітації санаторного типу</w:t>
            </w:r>
          </w:p>
        </w:tc>
        <w:tc>
          <w:tcPr>
            <w:tcW w:w="676"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900E88" w:rsidRPr="004E2C04" w:rsidRDefault="00900E88" w:rsidP="0057397F">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56"/>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64"/>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13"/>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3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991" w:type="pct"/>
            <w:gridSpan w:val="2"/>
            <w:vMerge w:val="restart"/>
            <w:shd w:val="clear" w:color="auto" w:fill="auto"/>
            <w:hideMark/>
          </w:tcPr>
          <w:p w:rsidR="00B56C29" w:rsidRPr="009C597B" w:rsidRDefault="00B56C29"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676" w:type="pct"/>
            <w:vMerge w:val="restart"/>
            <w:shd w:val="clear" w:color="auto" w:fill="auto"/>
            <w:hideMark/>
          </w:tcPr>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B56C29"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B56C29"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B56C29"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32" w:type="pct"/>
            <w:gridSpan w:val="3"/>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w:t>
            </w:r>
            <w:r w:rsidR="00B56C29" w:rsidRPr="00B56C29">
              <w:rPr>
                <w:rFonts w:ascii="Times New Roman" w:eastAsia="Times New Roman" w:hAnsi="Times New Roman" w:cs="Times New Roman"/>
                <w:sz w:val="20"/>
                <w:szCs w:val="20"/>
                <w:lang w:val="uk-UA" w:eastAsia="ru-RU"/>
              </w:rPr>
              <w:t>1</w:t>
            </w:r>
          </w:p>
        </w:tc>
        <w:tc>
          <w:tcPr>
            <w:tcW w:w="359" w:type="pct"/>
            <w:gridSpan w:val="4"/>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4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527DA6" w:rsidRPr="009C597B" w:rsidRDefault="00527DA6"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restart"/>
            <w:shd w:val="clear" w:color="auto" w:fill="auto"/>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2" w:type="pct"/>
            <w:gridSpan w:val="3"/>
            <w:vMerge/>
            <w:vAlign w:val="center"/>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79"/>
        </w:trPr>
        <w:tc>
          <w:tcPr>
            <w:tcW w:w="2239"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022BBB">
        <w:trPr>
          <w:gridAfter w:val="1"/>
          <w:wAfter w:w="10" w:type="pct"/>
          <w:trHeight w:val="510"/>
        </w:trPr>
        <w:tc>
          <w:tcPr>
            <w:tcW w:w="4990" w:type="pct"/>
            <w:gridSpan w:val="2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6. “Освіта впродовж життя”</w:t>
            </w:r>
          </w:p>
        </w:tc>
      </w:tr>
      <w:tr w:rsidR="00022BBB" w:rsidRPr="00E70200" w:rsidTr="00022BBB">
        <w:trPr>
          <w:gridAfter w:val="1"/>
          <w:wAfter w:w="10" w:type="pct"/>
          <w:trHeight w:val="510"/>
        </w:trPr>
        <w:tc>
          <w:tcPr>
            <w:tcW w:w="572"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67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23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2" w:type="pct"/>
            <w:gridSpan w:val="3"/>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67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6 одиниць</w:t>
            </w:r>
          </w:p>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81"/>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6"/>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74"/>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6"/>
        </w:trPr>
        <w:tc>
          <w:tcPr>
            <w:tcW w:w="572"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676"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022BBB" w:rsidRPr="00317600" w:rsidTr="00022BBB">
        <w:trPr>
          <w:gridAfter w:val="1"/>
          <w:wAfter w:w="10" w:type="pct"/>
          <w:trHeight w:val="5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3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67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5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6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39"/>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 xml:space="preserve">у всеукраїнських, </w:t>
            </w:r>
            <w:r w:rsidRPr="00A46F39">
              <w:rPr>
                <w:rFonts w:ascii="Times New Roman" w:eastAsia="Times New Roman" w:hAnsi="Times New Roman" w:cs="Times New Roman"/>
                <w:sz w:val="20"/>
                <w:szCs w:val="20"/>
                <w:lang w:val="uk-UA" w:eastAsia="ru-RU"/>
              </w:rPr>
              <w:lastRenderedPageBreak/>
              <w:t>міжнародних виставках, форумах, конкурсах та інших заходах</w:t>
            </w:r>
          </w:p>
        </w:tc>
        <w:tc>
          <w:tcPr>
            <w:tcW w:w="67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 xml:space="preserve">Відділ з гуманітарних питань </w:t>
            </w:r>
            <w:r w:rsidRPr="00A46F39">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представників </w:t>
            </w:r>
            <w:r w:rsidRPr="00A46F39">
              <w:rPr>
                <w:rFonts w:ascii="Times New Roman" w:eastAsia="Times New Roman" w:hAnsi="Times New Roman" w:cs="Times New Roman"/>
                <w:sz w:val="20"/>
                <w:szCs w:val="20"/>
                <w:lang w:val="uk-UA" w:eastAsia="ru-RU"/>
              </w:rPr>
              <w:lastRenderedPageBreak/>
              <w:t>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2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27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70200" w:rsidTr="00022BBB">
        <w:trPr>
          <w:gridAfter w:val="1"/>
          <w:wAfter w:w="10" w:type="pct"/>
          <w:trHeight w:val="98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67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022BBB" w:rsidRPr="00317600" w:rsidTr="00022BBB">
        <w:trPr>
          <w:gridAfter w:val="1"/>
          <w:wAfter w:w="10" w:type="pct"/>
          <w:trHeight w:val="27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3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22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4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7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67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0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6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720"/>
        </w:trPr>
        <w:tc>
          <w:tcPr>
            <w:tcW w:w="2239"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615"/>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03"/>
        </w:trPr>
        <w:tc>
          <w:tcPr>
            <w:tcW w:w="223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022BBB">
        <w:trPr>
          <w:gridAfter w:val="1"/>
          <w:wAfter w:w="10" w:type="pct"/>
          <w:trHeight w:val="480"/>
        </w:trPr>
        <w:tc>
          <w:tcPr>
            <w:tcW w:w="4990" w:type="pct"/>
            <w:gridSpan w:val="27"/>
            <w:shd w:val="clear" w:color="auto" w:fill="auto"/>
            <w:vAlign w:val="center"/>
            <w:hideMark/>
          </w:tcPr>
          <w:p w:rsidR="002804AC" w:rsidRPr="004E2C04"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7. „Основні заходи у сфері освіти”</w:t>
            </w:r>
          </w:p>
        </w:tc>
      </w:tr>
      <w:tr w:rsidR="00022BBB" w:rsidRPr="00E70200" w:rsidTr="00022BBB">
        <w:trPr>
          <w:gridAfter w:val="1"/>
          <w:wAfter w:w="10" w:type="pct"/>
          <w:trHeight w:val="78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991"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022BBB" w:rsidRPr="00317600" w:rsidTr="00022BBB">
        <w:trPr>
          <w:gridAfter w:val="1"/>
          <w:wAfter w:w="10" w:type="pct"/>
          <w:trHeight w:val="925"/>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947"/>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96"/>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624"/>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67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що взяли участь у щорічному освітньому форум</w:t>
            </w:r>
            <w:r>
              <w:rPr>
                <w:rFonts w:ascii="Times New Roman" w:eastAsia="Times New Roman" w:hAnsi="Times New Roman" w:cs="Times New Roman"/>
                <w:sz w:val="20"/>
                <w:szCs w:val="20"/>
                <w:lang w:val="uk-UA" w:eastAsia="ru-RU"/>
              </w:rPr>
              <w:t>і</w:t>
            </w: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67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2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6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86"/>
        </w:trPr>
        <w:tc>
          <w:tcPr>
            <w:tcW w:w="572"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67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Кількість педагогічних працівників, що взяли участь в урочистому заході до Дня працівників освіти</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2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4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991"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67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7"/>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1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10"/>
        </w:trPr>
        <w:tc>
          <w:tcPr>
            <w:tcW w:w="572"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67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9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97EC9" w:rsidTr="00022BBB">
        <w:trPr>
          <w:gridAfter w:val="1"/>
          <w:wAfter w:w="10" w:type="pct"/>
          <w:trHeight w:val="510"/>
        </w:trPr>
        <w:tc>
          <w:tcPr>
            <w:tcW w:w="572"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676"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022BBB">
        <w:trPr>
          <w:gridAfter w:val="1"/>
          <w:wAfter w:w="10" w:type="pct"/>
          <w:trHeight w:val="450"/>
        </w:trPr>
        <w:tc>
          <w:tcPr>
            <w:tcW w:w="4990" w:type="pct"/>
            <w:gridSpan w:val="27"/>
            <w:shd w:val="clear" w:color="auto" w:fill="auto"/>
            <w:vAlign w:val="center"/>
            <w:hideMark/>
          </w:tcPr>
          <w:p w:rsidR="002804AC" w:rsidRPr="004E2C04"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8. „Талановите та обдароване покоління”</w:t>
            </w:r>
          </w:p>
        </w:tc>
      </w:tr>
      <w:tr w:rsidR="00022BBB" w:rsidRPr="00317600" w:rsidTr="00022BBB">
        <w:trPr>
          <w:gridAfter w:val="1"/>
          <w:wAfter w:w="10" w:type="pct"/>
          <w:trHeight w:val="510"/>
        </w:trPr>
        <w:tc>
          <w:tcPr>
            <w:tcW w:w="572"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10"/>
        </w:trPr>
        <w:tc>
          <w:tcPr>
            <w:tcW w:w="572"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82"/>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70200" w:rsidTr="00022BBB">
        <w:trPr>
          <w:gridAfter w:val="1"/>
          <w:wAfter w:w="10" w:type="pct"/>
          <w:trHeight w:val="105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w:t>
            </w:r>
            <w:r w:rsidRPr="00F86623">
              <w:rPr>
                <w:rFonts w:ascii="Times New Roman" w:eastAsia="Times New Roman" w:hAnsi="Times New Roman" w:cs="Times New Roman"/>
                <w:sz w:val="20"/>
                <w:szCs w:val="20"/>
                <w:lang w:val="uk-UA" w:eastAsia="ru-RU"/>
              </w:rPr>
              <w:lastRenderedPageBreak/>
              <w:t xml:space="preserve">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у ІІІ Всеукраїн-ському </w:t>
            </w:r>
            <w:r w:rsidRPr="00F86623">
              <w:rPr>
                <w:rFonts w:ascii="Times New Roman" w:eastAsia="Times New Roman" w:hAnsi="Times New Roman" w:cs="Times New Roman"/>
                <w:sz w:val="20"/>
                <w:szCs w:val="20"/>
                <w:lang w:val="uk-UA" w:eastAsia="ru-RU"/>
              </w:rPr>
              <w:lastRenderedPageBreak/>
              <w:t>(фінальному)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7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67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676"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0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676"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722905" w:rsidRDefault="00722905" w:rsidP="000F4DC0">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376E66" w:rsidRPr="00722905" w:rsidRDefault="00722905" w:rsidP="001C0668">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1" w:type="pct"/>
            <w:gridSpan w:val="2"/>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5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676"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restart"/>
            <w:shd w:val="clear" w:color="auto" w:fill="auto"/>
            <w:hideMark/>
          </w:tcPr>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38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549"/>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67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F86623">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9F5F1B">
              <w:rPr>
                <w:rFonts w:ascii="Times New Roman" w:eastAsia="Times New Roman" w:hAnsi="Times New Roman" w:cs="Times New Roman"/>
                <w:spacing w:val="-10"/>
                <w:sz w:val="20"/>
                <w:szCs w:val="20"/>
                <w:lang w:val="uk-UA" w:eastAsia="ru-RU"/>
              </w:rPr>
              <w:t>Дніпропетровської</w:t>
            </w:r>
            <w:r w:rsidRPr="009F5F1B">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9F5F1B">
              <w:rPr>
                <w:rFonts w:ascii="Times New Roman" w:eastAsia="Times New Roman" w:hAnsi="Times New Roman" w:cs="Times New Roman"/>
                <w:spacing w:val="-10"/>
                <w:sz w:val="20"/>
                <w:szCs w:val="20"/>
                <w:lang w:val="uk-UA" w:eastAsia="ru-RU"/>
              </w:rPr>
              <w:t xml:space="preserve">Дніпропетровської </w:t>
            </w:r>
            <w:r w:rsidRPr="009F5F1B">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0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186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„Молоді вчені – Дніпропетровщині” на отримання  учасникамиматеріального заохочення </w:t>
            </w:r>
          </w:p>
        </w:tc>
        <w:tc>
          <w:tcPr>
            <w:tcW w:w="67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193E3B">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Щорічнне проведення обласного конкурсу проєктів „Молоді вчені – Дніпропетровщині” на отримання учасниками матеріального </w:t>
            </w:r>
            <w:r w:rsidRPr="009F5F1B">
              <w:rPr>
                <w:rFonts w:ascii="Times New Roman" w:eastAsia="Times New Roman" w:hAnsi="Times New Roman" w:cs="Times New Roman"/>
                <w:sz w:val="20"/>
                <w:szCs w:val="20"/>
                <w:lang w:val="uk-UA" w:eastAsia="ru-RU"/>
              </w:rPr>
              <w:br/>
              <w:t xml:space="preserve">заохочення  </w:t>
            </w:r>
          </w:p>
        </w:tc>
      </w:tr>
      <w:tr w:rsidR="00022BBB" w:rsidRPr="00317600" w:rsidTr="00022BBB">
        <w:trPr>
          <w:gridAfter w:val="1"/>
          <w:wAfter w:w="10" w:type="pct"/>
          <w:trHeight w:val="67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40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E70200" w:rsidTr="00022BBB">
        <w:trPr>
          <w:gridAfter w:val="1"/>
          <w:wAfter w:w="10" w:type="pct"/>
          <w:trHeight w:val="8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67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restar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9F5F1B">
              <w:rPr>
                <w:rFonts w:ascii="Times New Roman" w:eastAsia="Times New Roman" w:hAnsi="Times New Roman" w:cs="Times New Roman"/>
                <w:spacing w:val="-6"/>
                <w:sz w:val="20"/>
                <w:szCs w:val="20"/>
                <w:lang w:val="uk-UA" w:eastAsia="ru-RU"/>
              </w:rPr>
              <w:t xml:space="preserve">Дніпропетровську </w:t>
            </w:r>
            <w:r w:rsidRPr="009F5F1B">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91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2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8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67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022BBB" w:rsidRPr="00317600" w:rsidTr="00022BBB">
        <w:trPr>
          <w:gridAfter w:val="1"/>
          <w:wAfter w:w="10"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8" w:type="pct"/>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7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80"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6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10"/>
        </w:trPr>
        <w:tc>
          <w:tcPr>
            <w:tcW w:w="2239"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376E66" w:rsidRPr="00172D3D"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376E66" w:rsidRPr="00172D3D" w:rsidRDefault="00172D3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68" w:type="pct"/>
            <w:vMerge w:val="restart"/>
            <w:shd w:val="clear" w:color="auto" w:fill="auto"/>
            <w:noWrap/>
            <w:hideMark/>
          </w:tcPr>
          <w:p w:rsidR="00376E66" w:rsidRPr="004E2C04"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362"/>
        </w:trPr>
        <w:tc>
          <w:tcPr>
            <w:tcW w:w="22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95"/>
        </w:trPr>
        <w:tc>
          <w:tcPr>
            <w:tcW w:w="223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68" w:type="pct"/>
            <w:vMerge/>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9"/>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p>
        </w:tc>
        <w:tc>
          <w:tcPr>
            <w:tcW w:w="480" w:type="pct"/>
            <w:gridSpan w:val="5"/>
            <w:shd w:val="clear" w:color="auto" w:fill="auto"/>
            <w:vAlign w:val="center"/>
          </w:tcPr>
          <w:p w:rsidR="00172D3D" w:rsidRPr="00172D3D" w:rsidRDefault="00172D3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00"/>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72D3D"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80"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68"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022BBB">
        <w:trPr>
          <w:gridAfter w:val="1"/>
          <w:wAfter w:w="10" w:type="pct"/>
          <w:trHeight w:val="555"/>
        </w:trPr>
        <w:tc>
          <w:tcPr>
            <w:tcW w:w="4990" w:type="pct"/>
            <w:gridSpan w:val="27"/>
            <w:shd w:val="clear" w:color="auto" w:fill="auto"/>
            <w:vAlign w:val="center"/>
            <w:hideMark/>
          </w:tcPr>
          <w:p w:rsidR="00172D3D" w:rsidRPr="004E2C04" w:rsidRDefault="00172D3D" w:rsidP="007B19DB">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022BBB" w:rsidRPr="00E70200" w:rsidTr="00022BBB">
        <w:trPr>
          <w:gridAfter w:val="1"/>
          <w:wAfter w:w="10" w:type="pct"/>
          <w:trHeight w:val="600"/>
        </w:trPr>
        <w:tc>
          <w:tcPr>
            <w:tcW w:w="572" w:type="pct"/>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991" w:type="pct"/>
            <w:gridSpan w:val="2"/>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676" w:type="pct"/>
            <w:vMerge w:val="restart"/>
            <w:shd w:val="clear" w:color="auto" w:fill="auto"/>
            <w:hideMark/>
          </w:tcPr>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EA2687" w:rsidRDefault="008F325D"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234969,5</w:t>
            </w:r>
          </w:p>
        </w:tc>
        <w:tc>
          <w:tcPr>
            <w:tcW w:w="354" w:type="pct"/>
            <w:gridSpan w:val="8"/>
            <w:shd w:val="clear" w:color="auto" w:fill="auto"/>
            <w:vAlign w:val="center"/>
          </w:tcPr>
          <w:p w:rsidR="00172D3D" w:rsidRPr="00A544FD" w:rsidRDefault="0067479D"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242404,12</w:t>
            </w:r>
          </w:p>
        </w:tc>
        <w:tc>
          <w:tcPr>
            <w:tcW w:w="360" w:type="pct"/>
            <w:gridSpan w:val="4"/>
            <w:shd w:val="clear" w:color="auto" w:fill="auto"/>
            <w:vAlign w:val="center"/>
          </w:tcPr>
          <w:p w:rsidR="00172D3D" w:rsidRPr="004E2C04" w:rsidRDefault="00FE0479" w:rsidP="00BD03C8">
            <w:pPr>
              <w:spacing w:after="0" w:line="192" w:lineRule="auto"/>
              <w:ind w:left="-73"/>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4"/>
            <w:shd w:val="clear" w:color="auto" w:fill="auto"/>
            <w:vAlign w:val="center"/>
          </w:tcPr>
          <w:p w:rsidR="00172D3D" w:rsidRPr="00FE0479" w:rsidRDefault="0067479D" w:rsidP="00FE0479">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605621,63</w:t>
            </w:r>
          </w:p>
        </w:tc>
        <w:tc>
          <w:tcPr>
            <w:tcW w:w="468" w:type="pct"/>
            <w:vMerge w:val="restart"/>
            <w:shd w:val="clear" w:color="auto" w:fill="auto"/>
            <w:hideMark/>
          </w:tcPr>
          <w:p w:rsidR="00172D3D" w:rsidRPr="00FE0479" w:rsidRDefault="00172D3D" w:rsidP="007855D8">
            <w:pPr>
              <w:spacing w:after="0" w:line="192" w:lineRule="auto"/>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022BBB" w:rsidRPr="00317600" w:rsidTr="00022BBB">
        <w:trPr>
          <w:gridAfter w:val="1"/>
          <w:wAfter w:w="10" w:type="pct"/>
          <w:trHeight w:val="66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F27858" w:rsidRDefault="00F27858" w:rsidP="00EA2687">
            <w:pPr>
              <w:spacing w:after="0" w:line="192" w:lineRule="auto"/>
              <w:jc w:val="center"/>
              <w:rPr>
                <w:rFonts w:ascii="Times New Roman" w:eastAsia="Times New Roman" w:hAnsi="Times New Roman" w:cs="Times New Roman"/>
                <w:sz w:val="20"/>
                <w:szCs w:val="20"/>
                <w:lang w:val="uk-UA" w:eastAsia="ru-RU"/>
              </w:rPr>
            </w:pPr>
            <w:r w:rsidRPr="00F27858">
              <w:rPr>
                <w:rFonts w:ascii="Times New Roman" w:eastAsia="Times New Roman" w:hAnsi="Times New Roman" w:cs="Times New Roman"/>
                <w:sz w:val="20"/>
                <w:szCs w:val="20"/>
                <w:lang w:val="uk-UA" w:eastAsia="ru-RU"/>
              </w:rPr>
              <w:t>109 055,8</w:t>
            </w:r>
          </w:p>
        </w:tc>
        <w:tc>
          <w:tcPr>
            <w:tcW w:w="354" w:type="pct"/>
            <w:gridSpan w:val="8"/>
            <w:shd w:val="clear" w:color="auto" w:fill="auto"/>
            <w:vAlign w:val="center"/>
          </w:tcPr>
          <w:p w:rsidR="00172D3D" w:rsidRPr="00A544FD" w:rsidRDefault="00BE1F2B" w:rsidP="00EA2687">
            <w:pPr>
              <w:spacing w:after="0" w:line="192" w:lineRule="auto"/>
              <w:ind w:right="-14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98010,514</w:t>
            </w:r>
          </w:p>
        </w:tc>
        <w:tc>
          <w:tcPr>
            <w:tcW w:w="360" w:type="pct"/>
            <w:gridSpan w:val="4"/>
            <w:shd w:val="clear" w:color="auto" w:fill="auto"/>
            <w:vAlign w:val="center"/>
          </w:tcPr>
          <w:p w:rsidR="00172D3D" w:rsidRPr="00F27858"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4"/>
            <w:shd w:val="clear" w:color="auto" w:fill="auto"/>
            <w:vAlign w:val="center"/>
          </w:tcPr>
          <w:p w:rsidR="00172D3D" w:rsidRPr="00F27858" w:rsidRDefault="00BE1F2B" w:rsidP="005318DF">
            <w:pPr>
              <w:spacing w:after="0" w:line="192" w:lineRule="auto"/>
              <w:ind w:left="-117"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207</w:t>
            </w:r>
            <w:r w:rsidR="005318DF">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66,314</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4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D23004" w:rsidRDefault="00D23004" w:rsidP="00EA2687">
            <w:pPr>
              <w:spacing w:after="0" w:line="192" w:lineRule="auto"/>
              <w:jc w:val="center"/>
              <w:rPr>
                <w:rFonts w:ascii="Times New Roman" w:eastAsia="Times New Roman" w:hAnsi="Times New Roman" w:cs="Times New Roman"/>
                <w:sz w:val="20"/>
                <w:szCs w:val="20"/>
                <w:lang w:val="uk-UA" w:eastAsia="ru-RU"/>
              </w:rPr>
            </w:pPr>
            <w:r w:rsidRPr="00D23004">
              <w:rPr>
                <w:rFonts w:ascii="Times New Roman" w:eastAsia="Times New Roman" w:hAnsi="Times New Roman" w:cs="Times New Roman"/>
                <w:sz w:val="20"/>
                <w:szCs w:val="20"/>
                <w:lang w:val="uk-UA" w:eastAsia="ru-RU"/>
              </w:rPr>
              <w:t>6</w:t>
            </w:r>
            <w:r w:rsidR="00172D3D" w:rsidRPr="00D23004">
              <w:rPr>
                <w:rFonts w:ascii="Times New Roman" w:eastAsia="Times New Roman" w:hAnsi="Times New Roman" w:cs="Times New Roman"/>
                <w:sz w:val="20"/>
                <w:szCs w:val="20"/>
                <w:lang w:val="uk-UA" w:eastAsia="ru-RU"/>
              </w:rPr>
              <w:t>00,0</w:t>
            </w:r>
          </w:p>
        </w:tc>
        <w:tc>
          <w:tcPr>
            <w:tcW w:w="354" w:type="pct"/>
            <w:gridSpan w:val="8"/>
            <w:shd w:val="clear" w:color="auto" w:fill="auto"/>
            <w:vAlign w:val="center"/>
          </w:tcPr>
          <w:p w:rsidR="00172D3D" w:rsidRPr="00A544FD"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60" w:type="pct"/>
            <w:gridSpan w:val="4"/>
            <w:shd w:val="clear" w:color="auto" w:fill="auto"/>
            <w:vAlign w:val="center"/>
          </w:tcPr>
          <w:p w:rsidR="00172D3D" w:rsidRPr="00D23004"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4"/>
            <w:shd w:val="clear" w:color="auto" w:fill="auto"/>
            <w:vAlign w:val="center"/>
          </w:tcPr>
          <w:p w:rsidR="00172D3D" w:rsidRPr="00D23004" w:rsidRDefault="002764DC"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4E2C04" w:rsidRDefault="008F325D" w:rsidP="00EA2687">
            <w:pPr>
              <w:spacing w:after="0" w:line="192" w:lineRule="auto"/>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bCs/>
                <w:sz w:val="20"/>
                <w:szCs w:val="20"/>
                <w:lang w:val="uk-UA" w:eastAsia="ru-RU"/>
              </w:rPr>
              <w:t>124978,2</w:t>
            </w:r>
          </w:p>
        </w:tc>
        <w:tc>
          <w:tcPr>
            <w:tcW w:w="354" w:type="pct"/>
            <w:gridSpan w:val="8"/>
            <w:shd w:val="clear" w:color="auto" w:fill="auto"/>
            <w:vAlign w:val="center"/>
          </w:tcPr>
          <w:p w:rsidR="00172D3D" w:rsidRPr="00A544FD" w:rsidRDefault="0067479D" w:rsidP="00A544FD">
            <w:pPr>
              <w:spacing w:after="0" w:line="192" w:lineRule="auto"/>
              <w:ind w:left="-114" w:right="-147"/>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140999,966</w:t>
            </w:r>
          </w:p>
        </w:tc>
        <w:tc>
          <w:tcPr>
            <w:tcW w:w="360" w:type="pct"/>
            <w:gridSpan w:val="4"/>
            <w:shd w:val="clear" w:color="auto" w:fill="auto"/>
            <w:vAlign w:val="center"/>
          </w:tcPr>
          <w:p w:rsidR="00172D3D" w:rsidRPr="00BD03C8" w:rsidRDefault="00FE0479" w:rsidP="00022BBB">
            <w:pPr>
              <w:spacing w:after="0" w:line="192" w:lineRule="auto"/>
              <w:ind w:left="-73"/>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4"/>
            <w:shd w:val="clear" w:color="auto" w:fill="auto"/>
            <w:vAlign w:val="center"/>
          </w:tcPr>
          <w:p w:rsidR="00172D3D" w:rsidRPr="002764DC" w:rsidRDefault="0067479D" w:rsidP="002764DC">
            <w:pPr>
              <w:spacing w:after="0" w:line="192" w:lineRule="auto"/>
              <w:ind w:left="-110" w:right="-8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394226,176</w:t>
            </w:r>
          </w:p>
        </w:tc>
        <w:tc>
          <w:tcPr>
            <w:tcW w:w="468"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76"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6658BB" w:rsidRDefault="00A24B29" w:rsidP="00EA2687">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335,5</w:t>
            </w:r>
          </w:p>
        </w:tc>
        <w:tc>
          <w:tcPr>
            <w:tcW w:w="354" w:type="pct"/>
            <w:gridSpan w:val="8"/>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60" w:type="pct"/>
            <w:gridSpan w:val="4"/>
            <w:shd w:val="clear" w:color="auto" w:fill="auto"/>
            <w:vAlign w:val="center"/>
            <w:hideMark/>
          </w:tcPr>
          <w:p w:rsidR="00172D3D" w:rsidRPr="006658BB"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3729,14</w:t>
            </w:r>
          </w:p>
        </w:tc>
        <w:tc>
          <w:tcPr>
            <w:tcW w:w="468" w:type="pct"/>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022BBB">
        <w:trPr>
          <w:gridAfter w:val="1"/>
          <w:wAfter w:w="10" w:type="pct"/>
          <w:trHeight w:val="399"/>
        </w:trPr>
        <w:tc>
          <w:tcPr>
            <w:tcW w:w="4990" w:type="pct"/>
            <w:gridSpan w:val="27"/>
            <w:shd w:val="clear" w:color="auto" w:fill="auto"/>
            <w:noWrap/>
            <w:hideMark/>
          </w:tcPr>
          <w:p w:rsidR="00172D3D" w:rsidRPr="004E2C04" w:rsidRDefault="00172D3D" w:rsidP="00376E66">
            <w:pPr>
              <w:spacing w:after="0" w:line="192" w:lineRule="auto"/>
              <w:jc w:val="center"/>
              <w:rPr>
                <w:rFonts w:ascii="Times New Roman" w:eastAsia="Times New Roman" w:hAnsi="Times New Roman" w:cs="Times New Roman"/>
                <w:b/>
                <w:bCs/>
                <w:color w:val="FF0000"/>
                <w:sz w:val="20"/>
                <w:szCs w:val="20"/>
                <w:lang w:val="uk-UA" w:eastAsia="ru-RU"/>
              </w:rPr>
            </w:pPr>
          </w:p>
          <w:p w:rsidR="00172D3D" w:rsidRPr="004E2C04" w:rsidRDefault="00172D3D" w:rsidP="00376E66">
            <w:pPr>
              <w:spacing w:after="0" w:line="192" w:lineRule="auto"/>
              <w:jc w:val="center"/>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b/>
                <w:bCs/>
                <w:sz w:val="20"/>
                <w:szCs w:val="20"/>
                <w:lang w:val="uk-UA" w:eastAsia="ru-RU"/>
              </w:rPr>
              <w:t>Проєкт 10. „Організація харчування в закладах освіти”</w:t>
            </w:r>
          </w:p>
        </w:tc>
      </w:tr>
      <w:tr w:rsidR="00022BBB" w:rsidRPr="00B21A43" w:rsidTr="00022BBB">
        <w:trPr>
          <w:gridAfter w:val="1"/>
          <w:wAfter w:w="10" w:type="pct"/>
          <w:trHeight w:val="399"/>
        </w:trPr>
        <w:tc>
          <w:tcPr>
            <w:tcW w:w="572" w:type="pct"/>
            <w:vMerge w:val="restart"/>
            <w:shd w:val="clear" w:color="auto" w:fill="auto"/>
            <w:noWrap/>
            <w:hideMark/>
          </w:tcPr>
          <w:p w:rsidR="00172D3D" w:rsidRPr="00376E66"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52" w:type="pct"/>
            <w:vMerge w:val="restart"/>
            <w:shd w:val="clear" w:color="auto" w:fill="auto"/>
          </w:tcPr>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 Організація харчування дітей та учнів, в тому числі  пільгової категорії, згідно чинного законодавства та рішень міської ради.</w:t>
            </w:r>
          </w:p>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та учнів ЗЗСО.</w:t>
            </w:r>
          </w:p>
          <w:p w:rsidR="00172D3D" w:rsidRPr="00CD47B5"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716" w:type="pct"/>
            <w:gridSpan w:val="2"/>
            <w:vMerge w:val="restart"/>
            <w:shd w:val="clear" w:color="auto" w:fill="auto"/>
          </w:tcPr>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3D3920" w:rsidRDefault="003D3920"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21560,1</w:t>
            </w:r>
          </w:p>
        </w:tc>
        <w:tc>
          <w:tcPr>
            <w:tcW w:w="399" w:type="pct"/>
            <w:gridSpan w:val="9"/>
            <w:shd w:val="clear" w:color="auto" w:fill="auto"/>
            <w:vAlign w:val="center"/>
          </w:tcPr>
          <w:p w:rsidR="00172D3D" w:rsidRPr="003D3920" w:rsidRDefault="00FE299C" w:rsidP="00F34D62">
            <w:pPr>
              <w:spacing w:after="0" w:line="192" w:lineRule="auto"/>
              <w:ind w:left="-119" w:right="-95"/>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w:t>
            </w:r>
            <w:r w:rsidR="00F34D62">
              <w:rPr>
                <w:rFonts w:ascii="Times New Roman" w:eastAsia="Times New Roman" w:hAnsi="Times New Roman" w:cs="Times New Roman"/>
                <w:bCs/>
                <w:sz w:val="20"/>
                <w:szCs w:val="20"/>
                <w:lang w:val="uk-UA" w:eastAsia="ru-RU"/>
              </w:rPr>
              <w:t>538</w:t>
            </w:r>
            <w:r>
              <w:rPr>
                <w:rFonts w:ascii="Times New Roman" w:eastAsia="Times New Roman" w:hAnsi="Times New Roman" w:cs="Times New Roman"/>
                <w:bCs/>
                <w:sz w:val="20"/>
                <w:szCs w:val="20"/>
                <w:lang w:val="uk-UA" w:eastAsia="ru-RU"/>
              </w:rPr>
              <w:t>,50816</w:t>
            </w:r>
          </w:p>
        </w:tc>
        <w:tc>
          <w:tcPr>
            <w:tcW w:w="315" w:type="pct"/>
            <w:gridSpan w:val="3"/>
            <w:shd w:val="clear" w:color="auto" w:fill="auto"/>
            <w:vAlign w:val="center"/>
          </w:tcPr>
          <w:p w:rsidR="00172D3D" w:rsidRPr="00861C41"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3D3920" w:rsidRDefault="00FE299C" w:rsidP="00F34D62">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350</w:t>
            </w:r>
            <w:r w:rsidR="00F34D62">
              <w:rPr>
                <w:rFonts w:ascii="Times New Roman" w:eastAsia="Times New Roman" w:hAnsi="Times New Roman" w:cs="Times New Roman"/>
                <w:bCs/>
                <w:sz w:val="20"/>
                <w:szCs w:val="20"/>
                <w:lang w:val="uk-UA" w:eastAsia="ru-RU"/>
              </w:rPr>
              <w:t>98</w:t>
            </w:r>
            <w:r>
              <w:rPr>
                <w:rFonts w:ascii="Times New Roman" w:eastAsia="Times New Roman" w:hAnsi="Times New Roman" w:cs="Times New Roman"/>
                <w:bCs/>
                <w:sz w:val="20"/>
                <w:szCs w:val="20"/>
                <w:lang w:val="uk-UA" w:eastAsia="ru-RU"/>
              </w:rPr>
              <w:t>,60816</w:t>
            </w:r>
          </w:p>
        </w:tc>
        <w:tc>
          <w:tcPr>
            <w:tcW w:w="468" w:type="pct"/>
            <w:vMerge w:val="restart"/>
            <w:shd w:val="clear" w:color="auto" w:fill="auto"/>
            <w:hideMark/>
          </w:tcPr>
          <w:p w:rsidR="00172D3D" w:rsidRPr="005F6D6C" w:rsidRDefault="00172D3D" w:rsidP="00DC465E">
            <w:pPr>
              <w:spacing w:after="0" w:line="192" w:lineRule="auto"/>
              <w:rPr>
                <w:rFonts w:ascii="Times New Roman" w:eastAsia="Times New Roman" w:hAnsi="Times New Roman" w:cs="Times New Roman"/>
                <w:sz w:val="20"/>
                <w:szCs w:val="20"/>
                <w:lang w:val="uk-UA" w:eastAsia="ru-RU"/>
              </w:rPr>
            </w:pPr>
            <w:r w:rsidRPr="005F6D6C">
              <w:rPr>
                <w:rFonts w:ascii="Times New Roman" w:eastAsia="Times New Roman" w:hAnsi="Times New Roman" w:cs="Times New Roman"/>
                <w:sz w:val="20"/>
                <w:szCs w:val="20"/>
                <w:lang w:val="uk-UA" w:eastAsia="ru-RU"/>
              </w:rPr>
              <w:t xml:space="preserve">Забезпечення гарячим харчуванням дітей та </w:t>
            </w:r>
            <w:r w:rsidRPr="005F6D6C">
              <w:rPr>
                <w:rFonts w:ascii="Times New Roman" w:eastAsia="Times New Roman" w:hAnsi="Times New Roman" w:cs="Times New Roman"/>
                <w:bCs/>
                <w:sz w:val="20"/>
                <w:szCs w:val="20"/>
                <w:lang w:val="uk-UA" w:eastAsia="ru-RU"/>
              </w:rPr>
              <w:t xml:space="preserve">учнів </w:t>
            </w: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E21E0B" w:rsidRDefault="00E21E0B" w:rsidP="007855D8">
            <w:pPr>
              <w:spacing w:after="0" w:line="192" w:lineRule="auto"/>
              <w:jc w:val="center"/>
              <w:rPr>
                <w:rFonts w:ascii="Times New Roman" w:eastAsia="Times New Roman" w:hAnsi="Times New Roman" w:cs="Times New Roman"/>
                <w:bCs/>
                <w:sz w:val="20"/>
                <w:szCs w:val="20"/>
                <w:lang w:val="uk-UA" w:eastAsia="ru-RU"/>
              </w:rPr>
            </w:pPr>
            <w:r w:rsidRPr="00E21E0B">
              <w:rPr>
                <w:rFonts w:ascii="Times New Roman" w:eastAsia="Times New Roman" w:hAnsi="Times New Roman" w:cs="Times New Roman"/>
                <w:bCs/>
                <w:sz w:val="20"/>
                <w:szCs w:val="20"/>
                <w:lang w:val="uk-UA" w:eastAsia="ru-RU"/>
              </w:rPr>
              <w:t>15872,4</w:t>
            </w:r>
          </w:p>
        </w:tc>
        <w:tc>
          <w:tcPr>
            <w:tcW w:w="399" w:type="pct"/>
            <w:gridSpan w:val="9"/>
            <w:shd w:val="clear" w:color="auto" w:fill="auto"/>
            <w:vAlign w:val="center"/>
          </w:tcPr>
          <w:p w:rsidR="00172D3D" w:rsidRPr="00E21E0B" w:rsidRDefault="00EC0660" w:rsidP="00F34D62">
            <w:pPr>
              <w:spacing w:after="0" w:line="192" w:lineRule="auto"/>
              <w:ind w:right="-106"/>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95</w:t>
            </w:r>
            <w:r w:rsidR="00F34D62">
              <w:rPr>
                <w:rFonts w:ascii="Times New Roman" w:eastAsia="Times New Roman" w:hAnsi="Times New Roman" w:cs="Times New Roman"/>
                <w:bCs/>
                <w:sz w:val="20"/>
                <w:szCs w:val="20"/>
                <w:lang w:val="uk-UA" w:eastAsia="ru-RU"/>
              </w:rPr>
              <w:t>80</w:t>
            </w:r>
            <w:r>
              <w:rPr>
                <w:rFonts w:ascii="Times New Roman" w:eastAsia="Times New Roman" w:hAnsi="Times New Roman" w:cs="Times New Roman"/>
                <w:bCs/>
                <w:sz w:val="20"/>
                <w:szCs w:val="20"/>
                <w:lang w:val="uk-UA" w:eastAsia="ru-RU"/>
              </w:rPr>
              <w:t>,40816</w:t>
            </w:r>
          </w:p>
        </w:tc>
        <w:tc>
          <w:tcPr>
            <w:tcW w:w="315" w:type="pct"/>
            <w:gridSpan w:val="3"/>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172D3D" w:rsidRPr="005F6D6C" w:rsidRDefault="00F34D62" w:rsidP="00456699">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25452</w:t>
            </w:r>
            <w:r w:rsidR="00EC0660">
              <w:rPr>
                <w:rFonts w:ascii="Times New Roman" w:eastAsia="Times New Roman" w:hAnsi="Times New Roman" w:cs="Times New Roman"/>
                <w:bCs/>
                <w:sz w:val="20"/>
                <w:szCs w:val="20"/>
                <w:lang w:val="uk-UA" w:eastAsia="ru-RU"/>
              </w:rPr>
              <w:t>,80816</w:t>
            </w: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99" w:type="pct"/>
            <w:gridSpan w:val="9"/>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5F6D6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1338E1" w:rsidRDefault="001338E1" w:rsidP="007855D8">
            <w:pPr>
              <w:spacing w:after="0" w:line="192" w:lineRule="auto"/>
              <w:jc w:val="center"/>
              <w:rPr>
                <w:rFonts w:ascii="Times New Roman" w:eastAsia="Times New Roman" w:hAnsi="Times New Roman" w:cs="Times New Roman"/>
                <w:bCs/>
                <w:sz w:val="20"/>
                <w:szCs w:val="20"/>
                <w:lang w:val="uk-UA" w:eastAsia="ru-RU"/>
              </w:rPr>
            </w:pPr>
            <w:r w:rsidRPr="001338E1">
              <w:rPr>
                <w:rFonts w:ascii="Times New Roman" w:eastAsia="Times New Roman" w:hAnsi="Times New Roman" w:cs="Times New Roman"/>
                <w:bCs/>
                <w:sz w:val="20"/>
                <w:szCs w:val="20"/>
                <w:lang w:val="uk-UA" w:eastAsia="ru-RU"/>
              </w:rPr>
              <w:t>4557,7</w:t>
            </w:r>
          </w:p>
        </w:tc>
        <w:tc>
          <w:tcPr>
            <w:tcW w:w="399" w:type="pct"/>
            <w:gridSpan w:val="9"/>
            <w:shd w:val="clear" w:color="auto" w:fill="auto"/>
            <w:vAlign w:val="center"/>
          </w:tcPr>
          <w:p w:rsidR="00172D3D" w:rsidRPr="00DE6B79" w:rsidRDefault="00F16C6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3958,1</w:t>
            </w: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172D3D" w:rsidRPr="005F6D6C" w:rsidRDefault="00F16C6B" w:rsidP="003D3920">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8515,8</w:t>
            </w:r>
          </w:p>
        </w:tc>
        <w:tc>
          <w:tcPr>
            <w:tcW w:w="468"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022BBB">
        <w:trPr>
          <w:gridAfter w:val="1"/>
          <w:wAfter w:w="10"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6"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399" w:type="pct"/>
            <w:gridSpan w:val="9"/>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15" w:type="pct"/>
            <w:gridSpan w:val="3"/>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468" w:type="pct"/>
            <w:vMerge/>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399"/>
        </w:trPr>
        <w:tc>
          <w:tcPr>
            <w:tcW w:w="2239" w:type="pct"/>
            <w:gridSpan w:val="4"/>
            <w:vMerge w:val="restart"/>
            <w:shd w:val="clear" w:color="auto" w:fill="auto"/>
            <w:noWrap/>
            <w:hideMark/>
          </w:tcPr>
          <w:p w:rsidR="00B77F67" w:rsidRDefault="00B77F67" w:rsidP="007855D8">
            <w:pPr>
              <w:spacing w:after="0" w:line="192" w:lineRule="auto"/>
              <w:rPr>
                <w:rFonts w:ascii="Times New Roman" w:eastAsia="Times New Roman" w:hAnsi="Times New Roman" w:cs="Times New Roman"/>
                <w:bCs/>
                <w:sz w:val="20"/>
                <w:szCs w:val="20"/>
                <w:lang w:val="uk-UA" w:eastAsia="ru-RU"/>
              </w:rPr>
            </w:pPr>
          </w:p>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5" w:type="pct"/>
            <w:gridSpan w:val="4"/>
            <w:shd w:val="clear" w:color="auto" w:fill="auto"/>
            <w:vAlign w:val="center"/>
            <w:hideMark/>
          </w:tcPr>
          <w:p w:rsidR="00172D3D" w:rsidRPr="00133F53" w:rsidRDefault="006E2FD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308020,998</w:t>
            </w:r>
          </w:p>
        </w:tc>
        <w:tc>
          <w:tcPr>
            <w:tcW w:w="399" w:type="pct"/>
            <w:gridSpan w:val="9"/>
            <w:shd w:val="clear" w:color="auto" w:fill="auto"/>
            <w:vAlign w:val="center"/>
          </w:tcPr>
          <w:p w:rsidR="00172D3D" w:rsidRPr="004E2C04" w:rsidRDefault="006A3256" w:rsidP="00941F40">
            <w:pPr>
              <w:spacing w:after="0" w:line="192" w:lineRule="auto"/>
              <w:ind w:left="-114" w:right="-77"/>
              <w:jc w:val="center"/>
              <w:rPr>
                <w:rFonts w:ascii="Times New Roman" w:eastAsia="Times New Roman" w:hAnsi="Times New Roman" w:cs="Times New Roman"/>
                <w:bCs/>
                <w:color w:val="FF0000"/>
                <w:sz w:val="20"/>
                <w:szCs w:val="20"/>
                <w:lang w:val="uk-UA" w:eastAsia="ru-RU"/>
              </w:rPr>
            </w:pPr>
            <w:r>
              <w:rPr>
                <w:rFonts w:ascii="Times New Roman" w:eastAsia="Times New Roman" w:hAnsi="Times New Roman" w:cs="Times New Roman"/>
                <w:bCs/>
                <w:sz w:val="20"/>
                <w:szCs w:val="20"/>
                <w:lang w:val="uk-UA" w:eastAsia="ru-RU"/>
              </w:rPr>
              <w:t>2</w:t>
            </w:r>
            <w:r w:rsidR="00941F40">
              <w:rPr>
                <w:rFonts w:ascii="Times New Roman" w:eastAsia="Times New Roman" w:hAnsi="Times New Roman" w:cs="Times New Roman"/>
                <w:bCs/>
                <w:sz w:val="20"/>
                <w:szCs w:val="20"/>
                <w:lang w:val="uk-UA" w:eastAsia="ru-RU"/>
              </w:rPr>
              <w:t>71674</w:t>
            </w:r>
            <w:r>
              <w:rPr>
                <w:rFonts w:ascii="Times New Roman" w:eastAsia="Times New Roman" w:hAnsi="Times New Roman" w:cs="Times New Roman"/>
                <w:bCs/>
                <w:sz w:val="20"/>
                <w:szCs w:val="20"/>
                <w:lang w:val="uk-UA" w:eastAsia="ru-RU"/>
              </w:rPr>
              <w:t>,5</w:t>
            </w:r>
            <w:r w:rsidR="00941F40">
              <w:rPr>
                <w:rFonts w:ascii="Times New Roman" w:eastAsia="Times New Roman" w:hAnsi="Times New Roman" w:cs="Times New Roman"/>
                <w:bCs/>
                <w:sz w:val="20"/>
                <w:szCs w:val="20"/>
                <w:lang w:val="uk-UA" w:eastAsia="ru-RU"/>
              </w:rPr>
              <w:t>35</w:t>
            </w:r>
            <w:r>
              <w:rPr>
                <w:rFonts w:ascii="Times New Roman" w:eastAsia="Times New Roman" w:hAnsi="Times New Roman" w:cs="Times New Roman"/>
                <w:bCs/>
                <w:sz w:val="20"/>
                <w:szCs w:val="20"/>
                <w:lang w:val="uk-UA" w:eastAsia="ru-RU"/>
              </w:rPr>
              <w:t>16</w:t>
            </w:r>
          </w:p>
        </w:tc>
        <w:tc>
          <w:tcPr>
            <w:tcW w:w="315" w:type="pct"/>
            <w:gridSpan w:val="3"/>
            <w:shd w:val="clear" w:color="auto" w:fill="auto"/>
            <w:vAlign w:val="center"/>
          </w:tcPr>
          <w:p w:rsidR="00172D3D" w:rsidRPr="004E2C04"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437" w:type="pct"/>
            <w:gridSpan w:val="4"/>
            <w:shd w:val="clear" w:color="auto" w:fill="auto"/>
            <w:vAlign w:val="center"/>
          </w:tcPr>
          <w:p w:rsidR="00172D3D" w:rsidRPr="0024507D" w:rsidRDefault="0024507D" w:rsidP="00941F40">
            <w:pPr>
              <w:spacing w:after="0" w:line="192" w:lineRule="auto"/>
              <w:ind w:left="-80" w:right="-102"/>
              <w:jc w:val="center"/>
              <w:rPr>
                <w:rFonts w:ascii="Times New Roman" w:eastAsia="Times New Roman" w:hAnsi="Times New Roman" w:cs="Times New Roman"/>
                <w:bCs/>
                <w:sz w:val="20"/>
                <w:szCs w:val="20"/>
                <w:lang w:val="uk-UA" w:eastAsia="ru-RU"/>
              </w:rPr>
            </w:pPr>
            <w:r w:rsidRPr="0024507D">
              <w:rPr>
                <w:rFonts w:ascii="Times New Roman" w:eastAsia="Times New Roman" w:hAnsi="Times New Roman" w:cs="Times New Roman"/>
                <w:bCs/>
                <w:sz w:val="20"/>
                <w:szCs w:val="20"/>
                <w:lang w:val="uk-UA" w:eastAsia="ru-RU"/>
              </w:rPr>
              <w:t>70</w:t>
            </w:r>
            <w:r w:rsidR="00941F40">
              <w:rPr>
                <w:rFonts w:ascii="Times New Roman" w:eastAsia="Times New Roman" w:hAnsi="Times New Roman" w:cs="Times New Roman"/>
                <w:bCs/>
                <w:sz w:val="20"/>
                <w:szCs w:val="20"/>
                <w:lang w:val="uk-UA" w:eastAsia="ru-RU"/>
              </w:rPr>
              <w:t>8649</w:t>
            </w:r>
            <w:r w:rsidRPr="0024507D">
              <w:rPr>
                <w:rFonts w:ascii="Times New Roman" w:eastAsia="Times New Roman" w:hAnsi="Times New Roman" w:cs="Times New Roman"/>
                <w:bCs/>
                <w:sz w:val="20"/>
                <w:szCs w:val="20"/>
                <w:lang w:val="uk-UA" w:eastAsia="ru-RU"/>
              </w:rPr>
              <w:t>,</w:t>
            </w:r>
            <w:r w:rsidR="00941F40">
              <w:rPr>
                <w:rFonts w:ascii="Times New Roman" w:eastAsia="Times New Roman" w:hAnsi="Times New Roman" w:cs="Times New Roman"/>
                <w:bCs/>
                <w:sz w:val="20"/>
                <w:szCs w:val="20"/>
                <w:lang w:val="uk-UA" w:eastAsia="ru-RU"/>
              </w:rPr>
              <w:t>843</w:t>
            </w:r>
            <w:r w:rsidRPr="0024507D">
              <w:rPr>
                <w:rFonts w:ascii="Times New Roman" w:eastAsia="Times New Roman" w:hAnsi="Times New Roman" w:cs="Times New Roman"/>
                <w:bCs/>
                <w:sz w:val="20"/>
                <w:szCs w:val="20"/>
                <w:lang w:val="uk-UA" w:eastAsia="ru-RU"/>
              </w:rPr>
              <w:t>16</w:t>
            </w:r>
          </w:p>
        </w:tc>
        <w:tc>
          <w:tcPr>
            <w:tcW w:w="468" w:type="pct"/>
            <w:vMerge w:val="restart"/>
            <w:shd w:val="clear" w:color="auto" w:fill="auto"/>
            <w:hideMark/>
          </w:tcPr>
          <w:p w:rsidR="00172D3D" w:rsidRPr="0024507D" w:rsidRDefault="00172D3D" w:rsidP="007855D8">
            <w:pPr>
              <w:spacing w:after="0" w:line="192" w:lineRule="auto"/>
              <w:rPr>
                <w:rFonts w:ascii="Times New Roman" w:eastAsia="Times New Roman" w:hAnsi="Times New Roman" w:cs="Times New Roman"/>
                <w:color w:val="FF0000"/>
                <w:sz w:val="20"/>
                <w:szCs w:val="20"/>
                <w:lang w:val="uk-UA" w:eastAsia="ru-RU"/>
              </w:rPr>
            </w:pPr>
            <w:r w:rsidRPr="0024507D">
              <w:rPr>
                <w:rFonts w:ascii="Times New Roman" w:eastAsia="Times New Roman" w:hAnsi="Times New Roman" w:cs="Times New Roman"/>
                <w:color w:val="FF0000"/>
                <w:sz w:val="20"/>
                <w:szCs w:val="20"/>
                <w:lang w:val="uk-UA" w:eastAsia="ru-RU"/>
              </w:rPr>
              <w:t> </w:t>
            </w:r>
          </w:p>
        </w:tc>
      </w:tr>
      <w:tr w:rsidR="00022BBB" w:rsidRPr="00317600" w:rsidTr="00022BBB">
        <w:trPr>
          <w:gridAfter w:val="1"/>
          <w:wAfter w:w="10" w:type="pct"/>
          <w:trHeight w:val="406"/>
        </w:trPr>
        <w:tc>
          <w:tcPr>
            <w:tcW w:w="22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5" w:type="pct"/>
            <w:gridSpan w:val="4"/>
            <w:shd w:val="clear" w:color="auto" w:fill="auto"/>
            <w:vAlign w:val="center"/>
            <w:hideMark/>
          </w:tcPr>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139755,618</w:t>
            </w:r>
          </w:p>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99" w:type="pct"/>
            <w:gridSpan w:val="9"/>
            <w:shd w:val="clear" w:color="auto" w:fill="auto"/>
            <w:vAlign w:val="center"/>
          </w:tcPr>
          <w:p w:rsidR="00BD03C8" w:rsidRPr="00655A17" w:rsidRDefault="00941F40" w:rsidP="001C061D">
            <w:pPr>
              <w:spacing w:after="0" w:line="192" w:lineRule="auto"/>
              <w:ind w:left="-119" w:right="-95"/>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107590</w:t>
            </w:r>
            <w:r w:rsidR="001C061D" w:rsidRPr="00655A17">
              <w:rPr>
                <w:rFonts w:ascii="Times New Roman" w:eastAsia="Times New Roman" w:hAnsi="Times New Roman" w:cs="Times New Roman"/>
                <w:bCs/>
                <w:sz w:val="20"/>
                <w:szCs w:val="20"/>
                <w:lang w:val="uk-UA" w:eastAsia="ru-RU"/>
              </w:rPr>
              <w:t>,92216</w:t>
            </w:r>
          </w:p>
        </w:tc>
        <w:tc>
          <w:tcPr>
            <w:tcW w:w="315" w:type="pct"/>
            <w:gridSpan w:val="3"/>
            <w:shd w:val="clear" w:color="auto" w:fill="auto"/>
            <w:vAlign w:val="center"/>
          </w:tcPr>
          <w:p w:rsidR="00BD03C8" w:rsidRPr="00655A17"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4"/>
            <w:shd w:val="clear" w:color="auto" w:fill="auto"/>
            <w:vAlign w:val="center"/>
          </w:tcPr>
          <w:p w:rsidR="00BD03C8" w:rsidRPr="001C061D" w:rsidRDefault="001C061D" w:rsidP="001C061D">
            <w:pPr>
              <w:spacing w:after="0" w:line="192" w:lineRule="auto"/>
              <w:ind w:left="-103" w:right="-106"/>
              <w:jc w:val="center"/>
              <w:rPr>
                <w:rFonts w:ascii="Times New Roman" w:eastAsia="Times New Roman" w:hAnsi="Times New Roman" w:cs="Times New Roman"/>
                <w:bCs/>
                <w:sz w:val="19"/>
                <w:szCs w:val="19"/>
                <w:lang w:val="uk-UA" w:eastAsia="ru-RU"/>
              </w:rPr>
            </w:pPr>
            <w:r w:rsidRPr="001C061D">
              <w:rPr>
                <w:rFonts w:ascii="Times New Roman" w:eastAsia="Times New Roman" w:hAnsi="Times New Roman" w:cs="Times New Roman"/>
                <w:bCs/>
                <w:sz w:val="19"/>
                <w:szCs w:val="19"/>
                <w:lang w:val="uk-UA" w:eastAsia="ru-RU"/>
              </w:rPr>
              <w:t>247</w:t>
            </w:r>
            <w:r w:rsidR="00941F40">
              <w:rPr>
                <w:rFonts w:ascii="Times New Roman" w:eastAsia="Times New Roman" w:hAnsi="Times New Roman" w:cs="Times New Roman"/>
                <w:bCs/>
                <w:sz w:val="19"/>
                <w:szCs w:val="19"/>
                <w:lang w:val="uk-UA" w:eastAsia="ru-RU"/>
              </w:rPr>
              <w:t>346</w:t>
            </w:r>
            <w:r w:rsidRPr="001C061D">
              <w:rPr>
                <w:rFonts w:ascii="Times New Roman" w:eastAsia="Times New Roman" w:hAnsi="Times New Roman" w:cs="Times New Roman"/>
                <w:bCs/>
                <w:sz w:val="19"/>
                <w:szCs w:val="19"/>
                <w:lang w:val="uk-UA" w:eastAsia="ru-RU"/>
              </w:rPr>
              <w:t>,54016</w:t>
            </w:r>
          </w:p>
          <w:p w:rsidR="00BD03C8" w:rsidRPr="00BD03C8" w:rsidRDefault="00BD03C8" w:rsidP="00EC0660">
            <w:pPr>
              <w:spacing w:after="0" w:line="192" w:lineRule="auto"/>
              <w:jc w:val="center"/>
              <w:rPr>
                <w:rFonts w:ascii="Times New Roman" w:eastAsia="Times New Roman" w:hAnsi="Times New Roman" w:cs="Times New Roman"/>
                <w:bCs/>
                <w:sz w:val="20"/>
                <w:szCs w:val="20"/>
                <w:lang w:val="uk-UA" w:eastAsia="ru-RU"/>
              </w:rPr>
            </w:pPr>
          </w:p>
        </w:tc>
        <w:tc>
          <w:tcPr>
            <w:tcW w:w="468"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25"/>
        </w:trPr>
        <w:tc>
          <w:tcPr>
            <w:tcW w:w="2239"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5" w:type="pct"/>
            <w:gridSpan w:val="4"/>
            <w:shd w:val="clear" w:color="auto" w:fill="auto"/>
            <w:vAlign w:val="center"/>
            <w:hideMark/>
          </w:tcPr>
          <w:p w:rsidR="00BD03C8" w:rsidRPr="00FE0ECE" w:rsidRDefault="00BD03C8" w:rsidP="009405D5">
            <w:pPr>
              <w:spacing w:after="0" w:line="192" w:lineRule="auto"/>
              <w:jc w:val="center"/>
              <w:rPr>
                <w:rFonts w:ascii="Times New Roman" w:eastAsia="Times New Roman" w:hAnsi="Times New Roman" w:cs="Times New Roman"/>
                <w:bCs/>
                <w:sz w:val="20"/>
                <w:szCs w:val="20"/>
                <w:lang w:val="uk-UA" w:eastAsia="ru-RU"/>
              </w:rPr>
            </w:pPr>
            <w:r w:rsidRPr="00FE0ECE">
              <w:rPr>
                <w:rFonts w:ascii="Times New Roman" w:eastAsia="Times New Roman" w:hAnsi="Times New Roman" w:cs="Times New Roman"/>
                <w:bCs/>
                <w:sz w:val="20"/>
                <w:szCs w:val="20"/>
                <w:lang w:val="uk-UA" w:eastAsia="ru-RU"/>
              </w:rPr>
              <w:t>2300,0</w:t>
            </w:r>
          </w:p>
        </w:tc>
        <w:tc>
          <w:tcPr>
            <w:tcW w:w="399" w:type="pct"/>
            <w:gridSpan w:val="9"/>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315" w:type="pct"/>
            <w:gridSpan w:val="3"/>
            <w:shd w:val="clear" w:color="auto" w:fill="auto"/>
            <w:vAlign w:val="center"/>
          </w:tcPr>
          <w:p w:rsidR="00BD03C8" w:rsidRPr="004E2C04"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tcPr>
          <w:p w:rsidR="00BD03C8" w:rsidRPr="00BD03C8" w:rsidRDefault="00BD03C8" w:rsidP="00EC0660">
            <w:pPr>
              <w:spacing w:after="0" w:line="192" w:lineRule="auto"/>
              <w:jc w:val="center"/>
              <w:rPr>
                <w:rFonts w:ascii="Times New Roman" w:eastAsia="Times New Roman" w:hAnsi="Times New Roman" w:cs="Times New Roman"/>
                <w:bCs/>
                <w:sz w:val="20"/>
                <w:szCs w:val="20"/>
                <w:lang w:val="uk-UA" w:eastAsia="ru-RU"/>
              </w:rPr>
            </w:pPr>
            <w:r w:rsidRPr="00BD03C8">
              <w:rPr>
                <w:rFonts w:ascii="Times New Roman" w:eastAsia="Times New Roman" w:hAnsi="Times New Roman" w:cs="Times New Roman"/>
                <w:bCs/>
                <w:sz w:val="20"/>
                <w:szCs w:val="20"/>
                <w:lang w:val="uk-UA" w:eastAsia="ru-RU"/>
              </w:rPr>
              <w:t>2300,0</w:t>
            </w:r>
          </w:p>
        </w:tc>
        <w:tc>
          <w:tcPr>
            <w:tcW w:w="468"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7"/>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5" w:type="pct"/>
            <w:gridSpan w:val="4"/>
            <w:shd w:val="clear" w:color="auto" w:fill="auto"/>
            <w:vAlign w:val="center"/>
            <w:hideMark/>
          </w:tcPr>
          <w:p w:rsidR="00172D3D" w:rsidRPr="00397267" w:rsidRDefault="00523846"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157679,88</w:t>
            </w:r>
          </w:p>
        </w:tc>
        <w:tc>
          <w:tcPr>
            <w:tcW w:w="399" w:type="pct"/>
            <w:gridSpan w:val="9"/>
            <w:shd w:val="clear" w:color="auto" w:fill="auto"/>
            <w:vAlign w:val="center"/>
          </w:tcPr>
          <w:p w:rsidR="00172D3D" w:rsidRPr="00B77F67" w:rsidRDefault="00941F40" w:rsidP="00B77F67">
            <w:pPr>
              <w:spacing w:after="0" w:line="192" w:lineRule="auto"/>
              <w:ind w:left="-114"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160689,973</w:t>
            </w:r>
          </w:p>
        </w:tc>
        <w:tc>
          <w:tcPr>
            <w:tcW w:w="315" w:type="pct"/>
            <w:gridSpan w:val="3"/>
            <w:shd w:val="clear" w:color="auto" w:fill="auto"/>
            <w:vAlign w:val="center"/>
          </w:tcPr>
          <w:p w:rsidR="00172D3D" w:rsidRPr="004E2C04"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BD03C8">
              <w:rPr>
                <w:rFonts w:ascii="Times New Roman" w:eastAsia="Times New Roman" w:hAnsi="Times New Roman" w:cs="Times New Roman"/>
                <w:sz w:val="20"/>
                <w:szCs w:val="20"/>
                <w:lang w:val="uk-UA" w:eastAsia="ru-RU"/>
              </w:rPr>
              <w:t>128954,31</w:t>
            </w:r>
          </w:p>
        </w:tc>
        <w:tc>
          <w:tcPr>
            <w:tcW w:w="437" w:type="pct"/>
            <w:gridSpan w:val="4"/>
            <w:shd w:val="clear" w:color="auto" w:fill="auto"/>
            <w:vAlign w:val="center"/>
          </w:tcPr>
          <w:p w:rsidR="00172D3D" w:rsidRPr="00BD03C8" w:rsidRDefault="00941F40"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447324,163</w:t>
            </w:r>
          </w:p>
        </w:tc>
        <w:tc>
          <w:tcPr>
            <w:tcW w:w="468"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022BBB">
        <w:trPr>
          <w:gridAfter w:val="1"/>
          <w:wAfter w:w="10" w:type="pct"/>
          <w:trHeight w:val="410"/>
        </w:trPr>
        <w:tc>
          <w:tcPr>
            <w:tcW w:w="2239"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172D3D" w:rsidRPr="004B1C5F" w:rsidRDefault="00172D3D"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95" w:type="pct"/>
            <w:gridSpan w:val="4"/>
            <w:shd w:val="clear" w:color="auto" w:fill="auto"/>
            <w:vAlign w:val="center"/>
            <w:hideMark/>
          </w:tcPr>
          <w:p w:rsidR="00172D3D" w:rsidRPr="00FC60B2" w:rsidRDefault="002C6516"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8285,5</w:t>
            </w:r>
          </w:p>
        </w:tc>
        <w:tc>
          <w:tcPr>
            <w:tcW w:w="399" w:type="pct"/>
            <w:gridSpan w:val="9"/>
            <w:shd w:val="clear" w:color="auto" w:fill="auto"/>
            <w:vAlign w:val="center"/>
            <w:hideMark/>
          </w:tcPr>
          <w:p w:rsidR="00172D3D" w:rsidRPr="00FC60B2"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15" w:type="pct"/>
            <w:gridSpan w:val="3"/>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4"/>
            <w:shd w:val="clear" w:color="auto" w:fill="auto"/>
            <w:vAlign w:val="center"/>
            <w:hideMark/>
          </w:tcPr>
          <w:p w:rsidR="00172D3D" w:rsidRPr="00BD03C8"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11679,14</w:t>
            </w:r>
          </w:p>
        </w:tc>
        <w:tc>
          <w:tcPr>
            <w:tcW w:w="468"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Начальник відділу з гуманітарних питань          </w:t>
      </w:r>
      <w:r w:rsidR="00444B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338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5D8" w:rsidRDefault="004075D8" w:rsidP="006E0279">
      <w:pPr>
        <w:spacing w:after="0" w:line="240" w:lineRule="auto"/>
      </w:pPr>
      <w:r>
        <w:separator/>
      </w:r>
    </w:p>
  </w:endnote>
  <w:endnote w:type="continuationSeparator" w:id="1">
    <w:p w:rsidR="004075D8" w:rsidRDefault="004075D8"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5D8" w:rsidRDefault="004075D8" w:rsidP="006E0279">
      <w:pPr>
        <w:spacing w:after="0" w:line="240" w:lineRule="auto"/>
      </w:pPr>
      <w:r>
        <w:separator/>
      </w:r>
    </w:p>
  </w:footnote>
  <w:footnote w:type="continuationSeparator" w:id="1">
    <w:p w:rsidR="004075D8" w:rsidRDefault="004075D8"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E70200" w:rsidRPr="00ED23BD" w:rsidRDefault="00E70200">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941F40">
          <w:rPr>
            <w:rFonts w:ascii="Times New Roman" w:hAnsi="Times New Roman" w:cs="Times New Roman"/>
            <w:noProof/>
            <w:sz w:val="28"/>
            <w:szCs w:val="28"/>
          </w:rPr>
          <w:t>24</w:t>
        </w:r>
        <w:r w:rsidRPr="00ED23BD">
          <w:rPr>
            <w:rFonts w:ascii="Times New Roman" w:hAnsi="Times New Roman" w:cs="Times New Roman"/>
            <w:sz w:val="28"/>
            <w:szCs w:val="28"/>
          </w:rPr>
          <w:fldChar w:fldCharType="end"/>
        </w:r>
      </w:p>
    </w:sdtContent>
  </w:sdt>
  <w:p w:rsidR="00E70200" w:rsidRPr="00C555EF" w:rsidRDefault="00E70200">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91138"/>
  </w:hdrShapeDefaults>
  <w:footnotePr>
    <w:footnote w:id="0"/>
    <w:footnote w:id="1"/>
  </w:footnotePr>
  <w:endnotePr>
    <w:endnote w:id="0"/>
    <w:endnote w:id="1"/>
  </w:endnotePr>
  <w:compat/>
  <w:rsids>
    <w:rsidRoot w:val="00E92538"/>
    <w:rsid w:val="00007D50"/>
    <w:rsid w:val="000108B6"/>
    <w:rsid w:val="00017572"/>
    <w:rsid w:val="00021C1F"/>
    <w:rsid w:val="00022BBB"/>
    <w:rsid w:val="0002446F"/>
    <w:rsid w:val="00035976"/>
    <w:rsid w:val="0003643B"/>
    <w:rsid w:val="00041AA9"/>
    <w:rsid w:val="0004481C"/>
    <w:rsid w:val="00056B99"/>
    <w:rsid w:val="000971B5"/>
    <w:rsid w:val="00097F81"/>
    <w:rsid w:val="000A6A1D"/>
    <w:rsid w:val="000D48F3"/>
    <w:rsid w:val="000D498D"/>
    <w:rsid w:val="000E0C2B"/>
    <w:rsid w:val="000F4DC0"/>
    <w:rsid w:val="0011036A"/>
    <w:rsid w:val="00111071"/>
    <w:rsid w:val="001338E1"/>
    <w:rsid w:val="00133F53"/>
    <w:rsid w:val="00172D3D"/>
    <w:rsid w:val="0018143B"/>
    <w:rsid w:val="00183E74"/>
    <w:rsid w:val="00184A35"/>
    <w:rsid w:val="001854BC"/>
    <w:rsid w:val="001916E2"/>
    <w:rsid w:val="00193E3B"/>
    <w:rsid w:val="00194A87"/>
    <w:rsid w:val="001B15A2"/>
    <w:rsid w:val="001B1AAC"/>
    <w:rsid w:val="001B7CC3"/>
    <w:rsid w:val="001C061D"/>
    <w:rsid w:val="001C0668"/>
    <w:rsid w:val="001E24DA"/>
    <w:rsid w:val="002003CE"/>
    <w:rsid w:val="002010F7"/>
    <w:rsid w:val="00205155"/>
    <w:rsid w:val="00220E8A"/>
    <w:rsid w:val="00242EA7"/>
    <w:rsid w:val="0024507D"/>
    <w:rsid w:val="00247A32"/>
    <w:rsid w:val="0025011D"/>
    <w:rsid w:val="00253FD6"/>
    <w:rsid w:val="002618F4"/>
    <w:rsid w:val="00264A6F"/>
    <w:rsid w:val="002764DC"/>
    <w:rsid w:val="00276554"/>
    <w:rsid w:val="00277D22"/>
    <w:rsid w:val="002804AC"/>
    <w:rsid w:val="0029570B"/>
    <w:rsid w:val="002B22DE"/>
    <w:rsid w:val="002B7E22"/>
    <w:rsid w:val="002C5990"/>
    <w:rsid w:val="002C6516"/>
    <w:rsid w:val="002D4CCF"/>
    <w:rsid w:val="002D71E0"/>
    <w:rsid w:val="002E14B8"/>
    <w:rsid w:val="002E50FE"/>
    <w:rsid w:val="002F224D"/>
    <w:rsid w:val="00301FEF"/>
    <w:rsid w:val="00302248"/>
    <w:rsid w:val="00317600"/>
    <w:rsid w:val="003511B5"/>
    <w:rsid w:val="00361C07"/>
    <w:rsid w:val="003630A4"/>
    <w:rsid w:val="003639C2"/>
    <w:rsid w:val="00375B38"/>
    <w:rsid w:val="00376E66"/>
    <w:rsid w:val="00397267"/>
    <w:rsid w:val="00397DEE"/>
    <w:rsid w:val="00397EC9"/>
    <w:rsid w:val="003A0F8C"/>
    <w:rsid w:val="003B4962"/>
    <w:rsid w:val="003B4BE6"/>
    <w:rsid w:val="003C2E2A"/>
    <w:rsid w:val="003D2E0A"/>
    <w:rsid w:val="003D3920"/>
    <w:rsid w:val="003F0DD8"/>
    <w:rsid w:val="003F3C98"/>
    <w:rsid w:val="003F646C"/>
    <w:rsid w:val="004075D8"/>
    <w:rsid w:val="00411B93"/>
    <w:rsid w:val="004144BB"/>
    <w:rsid w:val="00414C54"/>
    <w:rsid w:val="004158BD"/>
    <w:rsid w:val="00431E5B"/>
    <w:rsid w:val="00444B43"/>
    <w:rsid w:val="0044678A"/>
    <w:rsid w:val="00456699"/>
    <w:rsid w:val="00461AAD"/>
    <w:rsid w:val="00477C61"/>
    <w:rsid w:val="00477D74"/>
    <w:rsid w:val="00487B17"/>
    <w:rsid w:val="004948FF"/>
    <w:rsid w:val="004A2520"/>
    <w:rsid w:val="004A47A4"/>
    <w:rsid w:val="004A7D12"/>
    <w:rsid w:val="004B03B1"/>
    <w:rsid w:val="004B1C5F"/>
    <w:rsid w:val="004B6ECF"/>
    <w:rsid w:val="004D239B"/>
    <w:rsid w:val="004D26BB"/>
    <w:rsid w:val="004E2C04"/>
    <w:rsid w:val="004E58AC"/>
    <w:rsid w:val="004F43D5"/>
    <w:rsid w:val="00511CB9"/>
    <w:rsid w:val="00517527"/>
    <w:rsid w:val="00523846"/>
    <w:rsid w:val="00527DA6"/>
    <w:rsid w:val="00531596"/>
    <w:rsid w:val="005318DF"/>
    <w:rsid w:val="00552A2D"/>
    <w:rsid w:val="00570B4C"/>
    <w:rsid w:val="00571633"/>
    <w:rsid w:val="005721AD"/>
    <w:rsid w:val="0057397F"/>
    <w:rsid w:val="0057573C"/>
    <w:rsid w:val="0058205B"/>
    <w:rsid w:val="00591404"/>
    <w:rsid w:val="005C4F37"/>
    <w:rsid w:val="005C51BC"/>
    <w:rsid w:val="005C60DA"/>
    <w:rsid w:val="005D3885"/>
    <w:rsid w:val="005E27F8"/>
    <w:rsid w:val="005F6D6C"/>
    <w:rsid w:val="005F79FC"/>
    <w:rsid w:val="00605321"/>
    <w:rsid w:val="0061161F"/>
    <w:rsid w:val="0061639A"/>
    <w:rsid w:val="006343F8"/>
    <w:rsid w:val="00636703"/>
    <w:rsid w:val="00655A17"/>
    <w:rsid w:val="00661CB6"/>
    <w:rsid w:val="006658BB"/>
    <w:rsid w:val="006705A0"/>
    <w:rsid w:val="0067479D"/>
    <w:rsid w:val="006815BA"/>
    <w:rsid w:val="00683678"/>
    <w:rsid w:val="006A3256"/>
    <w:rsid w:val="006A6E77"/>
    <w:rsid w:val="006C3484"/>
    <w:rsid w:val="006D40C2"/>
    <w:rsid w:val="006E0279"/>
    <w:rsid w:val="006E2FD7"/>
    <w:rsid w:val="006F3F8B"/>
    <w:rsid w:val="00711E78"/>
    <w:rsid w:val="0071266B"/>
    <w:rsid w:val="00722905"/>
    <w:rsid w:val="00724ECA"/>
    <w:rsid w:val="0073518E"/>
    <w:rsid w:val="0074169E"/>
    <w:rsid w:val="00753B47"/>
    <w:rsid w:val="00764B09"/>
    <w:rsid w:val="00775E94"/>
    <w:rsid w:val="007855D8"/>
    <w:rsid w:val="0078714C"/>
    <w:rsid w:val="00787448"/>
    <w:rsid w:val="0079345A"/>
    <w:rsid w:val="007957FD"/>
    <w:rsid w:val="007A21F0"/>
    <w:rsid w:val="007A47D6"/>
    <w:rsid w:val="007B19DB"/>
    <w:rsid w:val="007B3A7F"/>
    <w:rsid w:val="007B6348"/>
    <w:rsid w:val="007C2072"/>
    <w:rsid w:val="007C3D84"/>
    <w:rsid w:val="007D705B"/>
    <w:rsid w:val="007F35D1"/>
    <w:rsid w:val="007F4C15"/>
    <w:rsid w:val="008165B8"/>
    <w:rsid w:val="00822723"/>
    <w:rsid w:val="00835D2D"/>
    <w:rsid w:val="00840A95"/>
    <w:rsid w:val="00861C41"/>
    <w:rsid w:val="00875DDF"/>
    <w:rsid w:val="008762AC"/>
    <w:rsid w:val="008A3D17"/>
    <w:rsid w:val="008B40DD"/>
    <w:rsid w:val="008B5B80"/>
    <w:rsid w:val="008C0D12"/>
    <w:rsid w:val="008D7E6C"/>
    <w:rsid w:val="008E581C"/>
    <w:rsid w:val="008E5F7A"/>
    <w:rsid w:val="008F325D"/>
    <w:rsid w:val="00900E88"/>
    <w:rsid w:val="0090134F"/>
    <w:rsid w:val="00905FCF"/>
    <w:rsid w:val="009060A2"/>
    <w:rsid w:val="00920820"/>
    <w:rsid w:val="00926B9F"/>
    <w:rsid w:val="009405D5"/>
    <w:rsid w:val="00941F40"/>
    <w:rsid w:val="00947AB5"/>
    <w:rsid w:val="00956B15"/>
    <w:rsid w:val="009704EA"/>
    <w:rsid w:val="009729EC"/>
    <w:rsid w:val="00976967"/>
    <w:rsid w:val="00991232"/>
    <w:rsid w:val="009A2906"/>
    <w:rsid w:val="009B1A48"/>
    <w:rsid w:val="009B1F9D"/>
    <w:rsid w:val="009C597B"/>
    <w:rsid w:val="009C5C70"/>
    <w:rsid w:val="009F5F1B"/>
    <w:rsid w:val="00A02BC3"/>
    <w:rsid w:val="00A07F13"/>
    <w:rsid w:val="00A13447"/>
    <w:rsid w:val="00A24B29"/>
    <w:rsid w:val="00A3308B"/>
    <w:rsid w:val="00A44E8C"/>
    <w:rsid w:val="00A46F39"/>
    <w:rsid w:val="00A544FD"/>
    <w:rsid w:val="00A66390"/>
    <w:rsid w:val="00A8672D"/>
    <w:rsid w:val="00A93075"/>
    <w:rsid w:val="00AA0376"/>
    <w:rsid w:val="00AA4EA4"/>
    <w:rsid w:val="00AB1C45"/>
    <w:rsid w:val="00AB327A"/>
    <w:rsid w:val="00AC1E9D"/>
    <w:rsid w:val="00AD5E32"/>
    <w:rsid w:val="00B2039C"/>
    <w:rsid w:val="00B21A43"/>
    <w:rsid w:val="00B24392"/>
    <w:rsid w:val="00B345CD"/>
    <w:rsid w:val="00B3699E"/>
    <w:rsid w:val="00B36F49"/>
    <w:rsid w:val="00B42348"/>
    <w:rsid w:val="00B47BF7"/>
    <w:rsid w:val="00B56C29"/>
    <w:rsid w:val="00B571F9"/>
    <w:rsid w:val="00B63990"/>
    <w:rsid w:val="00B77F67"/>
    <w:rsid w:val="00B852AB"/>
    <w:rsid w:val="00B95F6E"/>
    <w:rsid w:val="00BB3759"/>
    <w:rsid w:val="00BC1ACB"/>
    <w:rsid w:val="00BC35C3"/>
    <w:rsid w:val="00BD03C8"/>
    <w:rsid w:val="00BD1698"/>
    <w:rsid w:val="00BE1F2B"/>
    <w:rsid w:val="00BE784D"/>
    <w:rsid w:val="00BF3B97"/>
    <w:rsid w:val="00C01140"/>
    <w:rsid w:val="00C01CC3"/>
    <w:rsid w:val="00C06725"/>
    <w:rsid w:val="00C2371B"/>
    <w:rsid w:val="00C413A8"/>
    <w:rsid w:val="00C555EF"/>
    <w:rsid w:val="00C651A4"/>
    <w:rsid w:val="00C73540"/>
    <w:rsid w:val="00C90193"/>
    <w:rsid w:val="00C946BB"/>
    <w:rsid w:val="00CD47B5"/>
    <w:rsid w:val="00CD5695"/>
    <w:rsid w:val="00CE686B"/>
    <w:rsid w:val="00CF444C"/>
    <w:rsid w:val="00CF44AE"/>
    <w:rsid w:val="00CF6797"/>
    <w:rsid w:val="00D032DF"/>
    <w:rsid w:val="00D16764"/>
    <w:rsid w:val="00D23004"/>
    <w:rsid w:val="00D230B2"/>
    <w:rsid w:val="00D24316"/>
    <w:rsid w:val="00D754AF"/>
    <w:rsid w:val="00D75C69"/>
    <w:rsid w:val="00DA3E41"/>
    <w:rsid w:val="00DB6F8F"/>
    <w:rsid w:val="00DB73FF"/>
    <w:rsid w:val="00DB7EC2"/>
    <w:rsid w:val="00DC1D98"/>
    <w:rsid w:val="00DC465E"/>
    <w:rsid w:val="00DD2AA5"/>
    <w:rsid w:val="00DE60EE"/>
    <w:rsid w:val="00DE6B79"/>
    <w:rsid w:val="00DF7D7A"/>
    <w:rsid w:val="00E2175B"/>
    <w:rsid w:val="00E21E0B"/>
    <w:rsid w:val="00E26C54"/>
    <w:rsid w:val="00E3200C"/>
    <w:rsid w:val="00E325D6"/>
    <w:rsid w:val="00E349E9"/>
    <w:rsid w:val="00E45720"/>
    <w:rsid w:val="00E45E41"/>
    <w:rsid w:val="00E524FA"/>
    <w:rsid w:val="00E70200"/>
    <w:rsid w:val="00E73D14"/>
    <w:rsid w:val="00E73FCB"/>
    <w:rsid w:val="00E91320"/>
    <w:rsid w:val="00E92538"/>
    <w:rsid w:val="00E957A2"/>
    <w:rsid w:val="00EA2687"/>
    <w:rsid w:val="00EA6A56"/>
    <w:rsid w:val="00EA6F24"/>
    <w:rsid w:val="00EB1072"/>
    <w:rsid w:val="00EC0660"/>
    <w:rsid w:val="00ED23BD"/>
    <w:rsid w:val="00ED7BDB"/>
    <w:rsid w:val="00EE3963"/>
    <w:rsid w:val="00EE58B1"/>
    <w:rsid w:val="00EE71D4"/>
    <w:rsid w:val="00F00819"/>
    <w:rsid w:val="00F04BB8"/>
    <w:rsid w:val="00F16C6B"/>
    <w:rsid w:val="00F2408B"/>
    <w:rsid w:val="00F27858"/>
    <w:rsid w:val="00F27868"/>
    <w:rsid w:val="00F336C6"/>
    <w:rsid w:val="00F34C7F"/>
    <w:rsid w:val="00F34D62"/>
    <w:rsid w:val="00F360ED"/>
    <w:rsid w:val="00F36C52"/>
    <w:rsid w:val="00F57A05"/>
    <w:rsid w:val="00F60721"/>
    <w:rsid w:val="00F7522C"/>
    <w:rsid w:val="00F76F37"/>
    <w:rsid w:val="00F849DE"/>
    <w:rsid w:val="00F86623"/>
    <w:rsid w:val="00FA189D"/>
    <w:rsid w:val="00FA33F8"/>
    <w:rsid w:val="00FB4BAC"/>
    <w:rsid w:val="00FC3D98"/>
    <w:rsid w:val="00FC60B2"/>
    <w:rsid w:val="00FC7063"/>
    <w:rsid w:val="00FD0687"/>
    <w:rsid w:val="00FD2B37"/>
    <w:rsid w:val="00FE0479"/>
    <w:rsid w:val="00FE0ECE"/>
    <w:rsid w:val="00FE299C"/>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ADE0-9848-4569-BDFC-8901E304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24</Pages>
  <Words>5757</Words>
  <Characters>32817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252</cp:revision>
  <cp:lastPrinted>2025-11-13T09:36:00Z</cp:lastPrinted>
  <dcterms:created xsi:type="dcterms:W3CDTF">2024-09-12T11:58:00Z</dcterms:created>
  <dcterms:modified xsi:type="dcterms:W3CDTF">2026-04-15T11:22:00Z</dcterms:modified>
</cp:coreProperties>
</file>