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F6" w:rsidRDefault="00480DF6" w:rsidP="00480DF6"/>
    <w:p w:rsidR="00480DF6" w:rsidRDefault="00480DF6" w:rsidP="00480DF6"/>
    <w:p w:rsidR="003813DF" w:rsidRDefault="003813DF" w:rsidP="00480DF6"/>
    <w:p w:rsidR="003813DF" w:rsidRDefault="003813DF" w:rsidP="00480DF6"/>
    <w:p w:rsidR="003813DF" w:rsidRDefault="003813DF" w:rsidP="00480DF6"/>
    <w:p w:rsidR="003813DF" w:rsidRDefault="003813DF" w:rsidP="00480DF6"/>
    <w:p w:rsidR="00480DF6" w:rsidRDefault="00480DF6" w:rsidP="00480DF6"/>
    <w:p w:rsidR="00480DF6" w:rsidRDefault="00480DF6" w:rsidP="00480DF6"/>
    <w:p w:rsidR="00480DF6" w:rsidRDefault="00480DF6" w:rsidP="00480DF6"/>
    <w:p w:rsidR="00480DF6" w:rsidRDefault="00480DF6" w:rsidP="00480DF6"/>
    <w:p w:rsidR="00480DF6" w:rsidRDefault="00480DF6" w:rsidP="00480DF6"/>
    <w:p w:rsidR="00480DF6" w:rsidRDefault="00480DF6" w:rsidP="00480DF6"/>
    <w:p w:rsidR="00480DF6" w:rsidRDefault="00480DF6" w:rsidP="00480DF6"/>
    <w:p w:rsidR="00480DF6" w:rsidRDefault="00480DF6" w:rsidP="00480DF6"/>
    <w:p w:rsidR="00480DF6" w:rsidRDefault="00480DF6" w:rsidP="00480DF6"/>
    <w:p w:rsidR="00480DF6" w:rsidRPr="00510B19" w:rsidRDefault="00480DF6" w:rsidP="00DE4C8A">
      <w:pPr>
        <w:spacing w:line="276" w:lineRule="auto"/>
        <w:jc w:val="center"/>
        <w:outlineLvl w:val="0"/>
        <w:rPr>
          <w:sz w:val="36"/>
          <w:szCs w:val="36"/>
        </w:rPr>
      </w:pPr>
      <w:r w:rsidRPr="00510B19">
        <w:rPr>
          <w:sz w:val="36"/>
          <w:szCs w:val="36"/>
        </w:rPr>
        <w:t>МІСЬК</w:t>
      </w:r>
      <w:r>
        <w:rPr>
          <w:sz w:val="36"/>
          <w:szCs w:val="36"/>
        </w:rPr>
        <w:t>А</w:t>
      </w:r>
      <w:r w:rsidRPr="00510B19">
        <w:rPr>
          <w:sz w:val="36"/>
          <w:szCs w:val="36"/>
        </w:rPr>
        <w:t xml:space="preserve"> ЦІЛЬОВ</w:t>
      </w:r>
      <w:r>
        <w:rPr>
          <w:sz w:val="36"/>
          <w:szCs w:val="36"/>
        </w:rPr>
        <w:t xml:space="preserve">А </w:t>
      </w:r>
      <w:r w:rsidR="00DE4C8A">
        <w:rPr>
          <w:sz w:val="36"/>
          <w:szCs w:val="36"/>
        </w:rPr>
        <w:t xml:space="preserve">КОМПЛЕКСНА </w:t>
      </w:r>
      <w:r>
        <w:rPr>
          <w:sz w:val="36"/>
          <w:szCs w:val="36"/>
        </w:rPr>
        <w:t>П</w:t>
      </w:r>
      <w:r w:rsidRPr="00510B19">
        <w:rPr>
          <w:sz w:val="36"/>
          <w:szCs w:val="36"/>
        </w:rPr>
        <w:t>РОГРАМ</w:t>
      </w:r>
      <w:r>
        <w:rPr>
          <w:sz w:val="36"/>
          <w:szCs w:val="36"/>
        </w:rPr>
        <w:t>А</w:t>
      </w:r>
      <w:r w:rsidRPr="00510B19">
        <w:rPr>
          <w:sz w:val="36"/>
          <w:szCs w:val="36"/>
        </w:rPr>
        <w:t xml:space="preserve"> </w:t>
      </w:r>
    </w:p>
    <w:p w:rsidR="00DE4C8A" w:rsidRDefault="00480DF6" w:rsidP="00DE4C8A">
      <w:pPr>
        <w:spacing w:line="276" w:lineRule="auto"/>
        <w:jc w:val="center"/>
        <w:rPr>
          <w:sz w:val="36"/>
          <w:szCs w:val="36"/>
        </w:rPr>
      </w:pPr>
      <w:r>
        <w:rPr>
          <w:sz w:val="36"/>
          <w:szCs w:val="36"/>
        </w:rPr>
        <w:t>«</w:t>
      </w:r>
      <w:r w:rsidR="00DE4C8A">
        <w:rPr>
          <w:sz w:val="36"/>
          <w:szCs w:val="36"/>
        </w:rPr>
        <w:t xml:space="preserve">ЗАПОБІГАННЯ ТА ПРОТИДІЯ ДОМАШНЬОМУ НАСИЛЬСТВУ І НАСИЛЬСТВУ ЗА ОЗНАКОЮ СТАТІ, ЗАБЕЗПЕЧЕННЯ ГЕНДЕРНОЇ РІВНОСТІ, </w:t>
      </w:r>
    </w:p>
    <w:p w:rsidR="00480DF6" w:rsidRDefault="00DE4C8A" w:rsidP="00DE4C8A">
      <w:pPr>
        <w:spacing w:line="276" w:lineRule="auto"/>
        <w:jc w:val="center"/>
        <w:rPr>
          <w:sz w:val="36"/>
          <w:szCs w:val="36"/>
        </w:rPr>
      </w:pPr>
      <w:r>
        <w:rPr>
          <w:sz w:val="36"/>
          <w:szCs w:val="36"/>
        </w:rPr>
        <w:t>ПРОТИДІЯ ТОРГІВЛІ ЛЮДЬМИ</w:t>
      </w:r>
    </w:p>
    <w:p w:rsidR="00480DF6" w:rsidRPr="00510B19" w:rsidRDefault="00480DF6" w:rsidP="00DE4C8A">
      <w:pPr>
        <w:spacing w:line="276" w:lineRule="auto"/>
        <w:jc w:val="center"/>
        <w:rPr>
          <w:sz w:val="36"/>
          <w:szCs w:val="36"/>
        </w:rPr>
      </w:pPr>
      <w:r>
        <w:rPr>
          <w:sz w:val="36"/>
          <w:szCs w:val="36"/>
        </w:rPr>
        <w:t xml:space="preserve"> В</w:t>
      </w:r>
      <w:r w:rsidRPr="00510B19">
        <w:rPr>
          <w:sz w:val="36"/>
          <w:szCs w:val="36"/>
        </w:rPr>
        <w:t xml:space="preserve"> МІСТІ БІЛГОРОД</w:t>
      </w:r>
      <w:r w:rsidR="00D439C1">
        <w:rPr>
          <w:sz w:val="36"/>
          <w:szCs w:val="36"/>
        </w:rPr>
        <w:t>І</w:t>
      </w:r>
      <w:r w:rsidRPr="00510B19">
        <w:rPr>
          <w:sz w:val="36"/>
          <w:szCs w:val="36"/>
        </w:rPr>
        <w:t xml:space="preserve">-ДНІСТРОВСЬКОМУ  </w:t>
      </w:r>
    </w:p>
    <w:p w:rsidR="00480DF6" w:rsidRPr="00510B19" w:rsidRDefault="00480DF6" w:rsidP="00DE4C8A">
      <w:pPr>
        <w:spacing w:line="276" w:lineRule="auto"/>
        <w:jc w:val="center"/>
        <w:rPr>
          <w:sz w:val="36"/>
          <w:szCs w:val="36"/>
        </w:rPr>
      </w:pPr>
      <w:r w:rsidRPr="00510B19">
        <w:rPr>
          <w:sz w:val="36"/>
          <w:szCs w:val="36"/>
        </w:rPr>
        <w:t xml:space="preserve">НА </w:t>
      </w:r>
      <w:r w:rsidR="00DE4C8A">
        <w:rPr>
          <w:sz w:val="36"/>
          <w:szCs w:val="36"/>
        </w:rPr>
        <w:t>ПЕРІОД ДО 2027 РОКУ</w:t>
      </w:r>
      <w:r w:rsidR="00D439C1">
        <w:rPr>
          <w:sz w:val="36"/>
          <w:szCs w:val="36"/>
        </w:rPr>
        <w:t>»</w:t>
      </w:r>
    </w:p>
    <w:p w:rsidR="00480DF6" w:rsidRPr="00510B19" w:rsidRDefault="00480DF6" w:rsidP="00480DF6">
      <w:pPr>
        <w:rPr>
          <w:sz w:val="36"/>
          <w:szCs w:val="36"/>
        </w:rPr>
      </w:pPr>
    </w:p>
    <w:p w:rsidR="00480DF6" w:rsidRPr="00510B19" w:rsidRDefault="00480DF6" w:rsidP="00480DF6">
      <w:pPr>
        <w:rPr>
          <w:sz w:val="36"/>
          <w:szCs w:val="36"/>
        </w:rPr>
      </w:pPr>
    </w:p>
    <w:p w:rsidR="00480DF6" w:rsidRPr="00510B19" w:rsidRDefault="00480DF6" w:rsidP="00480DF6">
      <w:pPr>
        <w:rPr>
          <w:sz w:val="36"/>
          <w:szCs w:val="36"/>
        </w:rPr>
      </w:pPr>
    </w:p>
    <w:p w:rsidR="00480DF6" w:rsidRDefault="00480DF6" w:rsidP="00480DF6">
      <w:pPr>
        <w:rPr>
          <w:szCs w:val="28"/>
        </w:rPr>
      </w:pPr>
    </w:p>
    <w:p w:rsidR="003813DF" w:rsidRDefault="003813DF" w:rsidP="00480DF6">
      <w:pPr>
        <w:rPr>
          <w:szCs w:val="28"/>
        </w:rPr>
      </w:pPr>
    </w:p>
    <w:p w:rsidR="00480DF6" w:rsidRDefault="00480DF6" w:rsidP="00480DF6">
      <w:pPr>
        <w:rPr>
          <w:szCs w:val="28"/>
        </w:rPr>
      </w:pPr>
    </w:p>
    <w:p w:rsidR="00480DF6" w:rsidRDefault="00480DF6" w:rsidP="00480DF6">
      <w:pPr>
        <w:rPr>
          <w:szCs w:val="28"/>
        </w:rPr>
      </w:pPr>
    </w:p>
    <w:p w:rsidR="00480DF6" w:rsidRDefault="00480DF6" w:rsidP="00480DF6">
      <w:pPr>
        <w:rPr>
          <w:szCs w:val="28"/>
        </w:rPr>
      </w:pPr>
    </w:p>
    <w:p w:rsidR="00480DF6" w:rsidRDefault="00480DF6" w:rsidP="00480DF6">
      <w:pPr>
        <w:rPr>
          <w:szCs w:val="28"/>
        </w:rPr>
      </w:pPr>
    </w:p>
    <w:p w:rsidR="00480DF6" w:rsidRDefault="00480DF6" w:rsidP="00480DF6">
      <w:pPr>
        <w:rPr>
          <w:szCs w:val="28"/>
        </w:rPr>
      </w:pPr>
    </w:p>
    <w:p w:rsidR="00480DF6" w:rsidRDefault="00480DF6" w:rsidP="00480DF6">
      <w:pPr>
        <w:rPr>
          <w:szCs w:val="28"/>
        </w:rPr>
      </w:pPr>
    </w:p>
    <w:p w:rsidR="00480DF6" w:rsidRDefault="00480DF6" w:rsidP="00480DF6">
      <w:pPr>
        <w:rPr>
          <w:szCs w:val="28"/>
        </w:rPr>
      </w:pPr>
    </w:p>
    <w:p w:rsidR="00480DF6" w:rsidRDefault="00480DF6" w:rsidP="00480DF6">
      <w:pPr>
        <w:rPr>
          <w:szCs w:val="28"/>
        </w:rPr>
      </w:pPr>
    </w:p>
    <w:p w:rsidR="00DE4C8A" w:rsidRDefault="00DE4C8A" w:rsidP="00480DF6">
      <w:pPr>
        <w:rPr>
          <w:szCs w:val="28"/>
        </w:rPr>
      </w:pPr>
    </w:p>
    <w:p w:rsidR="00DE4C8A" w:rsidRDefault="00DE4C8A" w:rsidP="00480DF6">
      <w:pPr>
        <w:rPr>
          <w:szCs w:val="28"/>
        </w:rPr>
      </w:pPr>
    </w:p>
    <w:p w:rsidR="00480DF6" w:rsidRDefault="00480DF6" w:rsidP="00480DF6">
      <w:pPr>
        <w:jc w:val="center"/>
        <w:rPr>
          <w:szCs w:val="28"/>
        </w:rPr>
      </w:pPr>
    </w:p>
    <w:p w:rsidR="00480DF6" w:rsidRDefault="00480DF6" w:rsidP="00480DF6">
      <w:pPr>
        <w:jc w:val="center"/>
        <w:rPr>
          <w:szCs w:val="28"/>
        </w:rPr>
      </w:pPr>
      <w:r>
        <w:rPr>
          <w:szCs w:val="28"/>
        </w:rPr>
        <w:t>м. Білгород-Дністровський</w:t>
      </w:r>
    </w:p>
    <w:p w:rsidR="00DE4C8A" w:rsidRDefault="00DE4C8A" w:rsidP="00DE4C8A">
      <w:pPr>
        <w:jc w:val="center"/>
        <w:rPr>
          <w:szCs w:val="28"/>
        </w:rPr>
      </w:pPr>
      <w:r>
        <w:rPr>
          <w:szCs w:val="28"/>
        </w:rPr>
        <w:t>2021</w:t>
      </w:r>
    </w:p>
    <w:p w:rsidR="00DE4C8A" w:rsidRDefault="00DE4C8A" w:rsidP="00480DF6">
      <w:pPr>
        <w:rPr>
          <w:szCs w:val="28"/>
        </w:rPr>
      </w:pPr>
    </w:p>
    <w:p w:rsidR="00480DF6" w:rsidRDefault="00480DF6" w:rsidP="00480DF6">
      <w:pPr>
        <w:jc w:val="center"/>
        <w:outlineLvl w:val="0"/>
        <w:rPr>
          <w:b/>
          <w:szCs w:val="28"/>
        </w:rPr>
      </w:pPr>
      <w:r w:rsidRPr="007102AF">
        <w:rPr>
          <w:b/>
          <w:szCs w:val="28"/>
        </w:rPr>
        <w:lastRenderedPageBreak/>
        <w:t>ПАСПОРТ ПРОГРАМИ</w:t>
      </w:r>
    </w:p>
    <w:p w:rsidR="00480DF6" w:rsidRPr="007102AF" w:rsidRDefault="00480DF6" w:rsidP="00480DF6">
      <w:pPr>
        <w:jc w:val="center"/>
        <w:outlineLvl w:val="0"/>
        <w:rPr>
          <w:b/>
          <w:szCs w:val="28"/>
        </w:rPr>
      </w:pPr>
    </w:p>
    <w:tbl>
      <w:tblPr>
        <w:tblW w:w="9185" w:type="dxa"/>
        <w:tblInd w:w="-5" w:type="dxa"/>
        <w:tblLayout w:type="fixed"/>
        <w:tblLook w:val="0000"/>
      </w:tblPr>
      <w:tblGrid>
        <w:gridCol w:w="648"/>
        <w:gridCol w:w="2442"/>
        <w:gridCol w:w="6095"/>
      </w:tblGrid>
      <w:tr w:rsidR="00480DF6" w:rsidRPr="007102AF" w:rsidTr="003832F7">
        <w:trPr>
          <w:trHeight w:val="837"/>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1.</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Назва програми</w:t>
            </w:r>
          </w:p>
        </w:tc>
        <w:tc>
          <w:tcPr>
            <w:tcW w:w="6095" w:type="dxa"/>
            <w:tcBorders>
              <w:top w:val="single" w:sz="4" w:space="0" w:color="000000"/>
              <w:left w:val="single" w:sz="4" w:space="0" w:color="000000"/>
              <w:bottom w:val="single" w:sz="4" w:space="0" w:color="000000"/>
              <w:right w:val="single" w:sz="4" w:space="0" w:color="000000"/>
            </w:tcBorders>
          </w:tcPr>
          <w:p w:rsidR="00DE4C8A" w:rsidRPr="00DE4C8A" w:rsidRDefault="00480DF6" w:rsidP="00DE4C8A">
            <w:pPr>
              <w:jc w:val="both"/>
              <w:rPr>
                <w:szCs w:val="28"/>
              </w:rPr>
            </w:pPr>
            <w:r w:rsidRPr="007102AF">
              <w:rPr>
                <w:szCs w:val="28"/>
              </w:rPr>
              <w:t xml:space="preserve">Міська цільова </w:t>
            </w:r>
            <w:r w:rsidR="00DE4C8A">
              <w:rPr>
                <w:szCs w:val="28"/>
              </w:rPr>
              <w:t xml:space="preserve">комплексна </w:t>
            </w:r>
            <w:r w:rsidRPr="007102AF">
              <w:rPr>
                <w:szCs w:val="28"/>
              </w:rPr>
              <w:t xml:space="preserve">програма </w:t>
            </w:r>
            <w:r w:rsidR="00DE4C8A" w:rsidRPr="00DE4C8A">
              <w:rPr>
                <w:szCs w:val="28"/>
              </w:rPr>
              <w:t xml:space="preserve">«Запобігання та протидія домашньому </w:t>
            </w:r>
          </w:p>
          <w:p w:rsidR="00DE4C8A" w:rsidRPr="00DE4C8A" w:rsidRDefault="00DE4C8A" w:rsidP="00DE4C8A">
            <w:pPr>
              <w:jc w:val="both"/>
              <w:rPr>
                <w:szCs w:val="28"/>
              </w:rPr>
            </w:pPr>
            <w:r w:rsidRPr="00DE4C8A">
              <w:rPr>
                <w:szCs w:val="28"/>
              </w:rPr>
              <w:t>насильству і насильству за ознакою статі,</w:t>
            </w:r>
            <w:r>
              <w:rPr>
                <w:szCs w:val="28"/>
              </w:rPr>
              <w:t xml:space="preserve"> </w:t>
            </w:r>
            <w:r w:rsidRPr="00DE4C8A">
              <w:rPr>
                <w:szCs w:val="28"/>
              </w:rPr>
              <w:t>забезпечення гендерної рівності,</w:t>
            </w:r>
          </w:p>
          <w:p w:rsidR="00480DF6" w:rsidRPr="007102AF" w:rsidRDefault="00DE4C8A" w:rsidP="00DE4C8A">
            <w:pPr>
              <w:jc w:val="both"/>
              <w:rPr>
                <w:szCs w:val="28"/>
              </w:rPr>
            </w:pPr>
            <w:r w:rsidRPr="00DE4C8A">
              <w:rPr>
                <w:szCs w:val="28"/>
              </w:rPr>
              <w:t>протидія торгівлі людьми в місті Білгороді-Дністровському</w:t>
            </w:r>
            <w:r>
              <w:rPr>
                <w:szCs w:val="28"/>
              </w:rPr>
              <w:t xml:space="preserve"> </w:t>
            </w:r>
            <w:r w:rsidRPr="00DE4C8A">
              <w:rPr>
                <w:szCs w:val="28"/>
              </w:rPr>
              <w:t>на період</w:t>
            </w:r>
            <w:r>
              <w:rPr>
                <w:szCs w:val="28"/>
              </w:rPr>
              <w:t xml:space="preserve">     </w:t>
            </w:r>
            <w:r w:rsidRPr="00DE4C8A">
              <w:rPr>
                <w:szCs w:val="28"/>
              </w:rPr>
              <w:t xml:space="preserve"> до 2027 рок</w:t>
            </w:r>
            <w:r>
              <w:rPr>
                <w:szCs w:val="28"/>
              </w:rPr>
              <w:t>у</w:t>
            </w:r>
            <w:r w:rsidRPr="00DE4C8A">
              <w:rPr>
                <w:szCs w:val="28"/>
              </w:rPr>
              <w:t>»</w:t>
            </w:r>
          </w:p>
        </w:tc>
      </w:tr>
      <w:tr w:rsidR="00480DF6" w:rsidRPr="007102AF" w:rsidTr="003832F7">
        <w:trPr>
          <w:trHeight w:val="931"/>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2.</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 xml:space="preserve">Законодавчі підстави для розробки програми </w:t>
            </w:r>
          </w:p>
        </w:tc>
        <w:tc>
          <w:tcPr>
            <w:tcW w:w="6095" w:type="dxa"/>
            <w:tcBorders>
              <w:top w:val="single" w:sz="4" w:space="0" w:color="000000"/>
              <w:left w:val="single" w:sz="4" w:space="0" w:color="000000"/>
              <w:bottom w:val="single" w:sz="4" w:space="0" w:color="000000"/>
              <w:right w:val="single" w:sz="4" w:space="0" w:color="000000"/>
            </w:tcBorders>
          </w:tcPr>
          <w:p w:rsidR="00480DF6" w:rsidRDefault="00480DF6" w:rsidP="00480DF6">
            <w:pPr>
              <w:jc w:val="both"/>
              <w:rPr>
                <w:szCs w:val="28"/>
              </w:rPr>
            </w:pPr>
            <w:r>
              <w:rPr>
                <w:szCs w:val="28"/>
              </w:rPr>
              <w:t>Конституція України;</w:t>
            </w:r>
          </w:p>
          <w:p w:rsidR="00480DF6" w:rsidRDefault="00480DF6" w:rsidP="00480DF6">
            <w:pPr>
              <w:jc w:val="both"/>
              <w:rPr>
                <w:szCs w:val="28"/>
              </w:rPr>
            </w:pPr>
            <w:r>
              <w:rPr>
                <w:szCs w:val="28"/>
              </w:rPr>
              <w:t>Закони України:</w:t>
            </w:r>
          </w:p>
          <w:p w:rsidR="003832F7" w:rsidRDefault="00480DF6" w:rsidP="009B6E8D">
            <w:pPr>
              <w:jc w:val="both"/>
              <w:rPr>
                <w:szCs w:val="28"/>
              </w:rPr>
            </w:pPr>
            <w:r>
              <w:rPr>
                <w:szCs w:val="28"/>
              </w:rPr>
              <w:t>«Про місцеве самоврядування в Україні»,</w:t>
            </w:r>
          </w:p>
          <w:p w:rsidR="003832F7" w:rsidRDefault="003832F7" w:rsidP="009B6E8D">
            <w:pPr>
              <w:jc w:val="both"/>
              <w:rPr>
                <w:szCs w:val="28"/>
              </w:rPr>
            </w:pPr>
            <w:r>
              <w:rPr>
                <w:szCs w:val="28"/>
              </w:rPr>
              <w:t xml:space="preserve"> </w:t>
            </w:r>
            <w:r w:rsidR="009B6E8D">
              <w:rPr>
                <w:szCs w:val="28"/>
              </w:rPr>
              <w:t xml:space="preserve">«Про охорону дитинства», </w:t>
            </w:r>
          </w:p>
          <w:p w:rsidR="003832F7" w:rsidRDefault="009B6E8D" w:rsidP="009B6E8D">
            <w:pPr>
              <w:jc w:val="both"/>
              <w:rPr>
                <w:szCs w:val="28"/>
              </w:rPr>
            </w:pPr>
            <w:r>
              <w:rPr>
                <w:szCs w:val="28"/>
              </w:rPr>
              <w:t xml:space="preserve"> «Про запобігання та протидію домашньому насильству»,</w:t>
            </w:r>
          </w:p>
          <w:p w:rsidR="003832F7" w:rsidRDefault="009B6E8D" w:rsidP="009B6E8D">
            <w:pPr>
              <w:jc w:val="both"/>
              <w:rPr>
                <w:szCs w:val="28"/>
              </w:rPr>
            </w:pPr>
            <w:r>
              <w:rPr>
                <w:szCs w:val="28"/>
              </w:rPr>
              <w:t xml:space="preserve"> «Про протидію торгівлі людьми», «Про забезпечення рівних прав та можливостей жінок і чоловіків»,</w:t>
            </w:r>
          </w:p>
          <w:p w:rsidR="003832F7" w:rsidRDefault="009B6E8D" w:rsidP="009B6E8D">
            <w:pPr>
              <w:jc w:val="both"/>
              <w:rPr>
                <w:szCs w:val="28"/>
              </w:rPr>
            </w:pPr>
            <w:r>
              <w:rPr>
                <w:szCs w:val="28"/>
              </w:rPr>
              <w:t>П</w:t>
            </w:r>
            <w:r w:rsidRPr="00A42F69">
              <w:rPr>
                <w:szCs w:val="28"/>
              </w:rPr>
              <w:t>останови Ка</w:t>
            </w:r>
            <w:r>
              <w:rPr>
                <w:szCs w:val="28"/>
              </w:rPr>
              <w:t>бінету Міністрів України</w:t>
            </w:r>
            <w:r w:rsidR="003832F7">
              <w:rPr>
                <w:szCs w:val="28"/>
              </w:rPr>
              <w:t>:</w:t>
            </w:r>
            <w:r>
              <w:rPr>
                <w:szCs w:val="28"/>
              </w:rPr>
              <w:t xml:space="preserve"> </w:t>
            </w:r>
            <w:r w:rsidRPr="00A42F69">
              <w:rPr>
                <w:szCs w:val="28"/>
              </w:rPr>
              <w:t>«</w:t>
            </w:r>
            <w:r>
              <w:rPr>
                <w:szCs w:val="28"/>
              </w:rPr>
              <w:t xml:space="preserve">Питання державної соціальної програми запобігання та протидії домашньому насильству та насильству за ознакою статі на період до 2025 року», </w:t>
            </w:r>
          </w:p>
          <w:p w:rsidR="003832F7" w:rsidRDefault="009B6E8D" w:rsidP="009B6E8D">
            <w:pPr>
              <w:jc w:val="both"/>
              <w:rPr>
                <w:szCs w:val="28"/>
              </w:rPr>
            </w:pPr>
            <w:r>
              <w:rPr>
                <w:szCs w:val="28"/>
              </w:rPr>
              <w:t>Указу Президента</w:t>
            </w:r>
            <w:r w:rsidR="003832F7">
              <w:rPr>
                <w:szCs w:val="28"/>
              </w:rPr>
              <w:t>:</w:t>
            </w:r>
          </w:p>
          <w:p w:rsidR="00480DF6" w:rsidRPr="007102AF" w:rsidRDefault="009B6E8D" w:rsidP="009B6E8D">
            <w:pPr>
              <w:jc w:val="both"/>
              <w:rPr>
                <w:szCs w:val="28"/>
              </w:rPr>
            </w:pPr>
            <w:r>
              <w:rPr>
                <w:szCs w:val="28"/>
              </w:rPr>
              <w:t>«Про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p>
        </w:tc>
      </w:tr>
      <w:tr w:rsidR="00480DF6" w:rsidRPr="007102AF" w:rsidTr="003832F7">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3.</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Ініціатор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480DF6" w:rsidRPr="007102AF" w:rsidRDefault="008D4665" w:rsidP="008D4665">
            <w:pPr>
              <w:spacing w:line="228" w:lineRule="auto"/>
              <w:jc w:val="both"/>
              <w:rPr>
                <w:szCs w:val="28"/>
              </w:rPr>
            </w:pPr>
            <w:r>
              <w:rPr>
                <w:szCs w:val="28"/>
              </w:rPr>
              <w:t xml:space="preserve">Департамент соціальної, сімейної політики та охорони здоров’я </w:t>
            </w:r>
            <w:r w:rsidR="00480DF6" w:rsidRPr="007102AF">
              <w:rPr>
                <w:szCs w:val="28"/>
              </w:rPr>
              <w:t>Білгород-Дністровської міської ради</w:t>
            </w:r>
          </w:p>
        </w:tc>
      </w:tr>
      <w:tr w:rsidR="00480DF6" w:rsidRPr="007102AF" w:rsidTr="003832F7">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4.</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Дата , номер і назва розпорядчого документа про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480DF6" w:rsidRPr="00BD3EED" w:rsidRDefault="003832F7" w:rsidP="00263454">
            <w:pPr>
              <w:jc w:val="both"/>
              <w:rPr>
                <w:szCs w:val="28"/>
                <w:lang w:val="ru-RU"/>
              </w:rPr>
            </w:pPr>
            <w:r>
              <w:rPr>
                <w:szCs w:val="28"/>
              </w:rPr>
              <w:t>Рішення Одеської обласної ради від 20 грудня 2019 року № 1171-</w:t>
            </w:r>
            <w:r>
              <w:rPr>
                <w:szCs w:val="28"/>
                <w:lang w:val="en-US"/>
              </w:rPr>
              <w:t>VI</w:t>
            </w:r>
          </w:p>
        </w:tc>
      </w:tr>
      <w:tr w:rsidR="00480DF6" w:rsidRPr="007102AF" w:rsidTr="003832F7">
        <w:trPr>
          <w:trHeight w:val="844"/>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5.</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 xml:space="preserve">Головний розробник Програми </w:t>
            </w:r>
          </w:p>
        </w:tc>
        <w:tc>
          <w:tcPr>
            <w:tcW w:w="6095" w:type="dxa"/>
            <w:tcBorders>
              <w:top w:val="single" w:sz="4" w:space="0" w:color="000000"/>
              <w:left w:val="single" w:sz="4" w:space="0" w:color="000000"/>
              <w:bottom w:val="single" w:sz="4" w:space="0" w:color="000000"/>
              <w:right w:val="single" w:sz="4" w:space="0" w:color="000000"/>
            </w:tcBorders>
          </w:tcPr>
          <w:p w:rsidR="00480DF6" w:rsidRPr="007102AF" w:rsidRDefault="008D4665" w:rsidP="00263454">
            <w:pPr>
              <w:spacing w:line="228" w:lineRule="auto"/>
              <w:jc w:val="both"/>
              <w:rPr>
                <w:szCs w:val="28"/>
              </w:rPr>
            </w:pPr>
            <w:r>
              <w:rPr>
                <w:szCs w:val="28"/>
              </w:rPr>
              <w:t xml:space="preserve">Департамент соціальної, сімейної політики та охорони здоров’я </w:t>
            </w:r>
            <w:r w:rsidRPr="007102AF">
              <w:rPr>
                <w:szCs w:val="28"/>
              </w:rPr>
              <w:t>Білгород-Дністровської міської ради</w:t>
            </w:r>
          </w:p>
        </w:tc>
      </w:tr>
      <w:tr w:rsidR="00480DF6" w:rsidRPr="007102AF" w:rsidTr="003832F7">
        <w:trPr>
          <w:trHeight w:val="724"/>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6.</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proofErr w:type="spellStart"/>
            <w:r w:rsidRPr="007102AF">
              <w:rPr>
                <w:szCs w:val="28"/>
              </w:rPr>
              <w:t>Співрозробники</w:t>
            </w:r>
            <w:proofErr w:type="spellEnd"/>
            <w:r w:rsidRPr="007102AF">
              <w:rPr>
                <w:szCs w:val="28"/>
              </w:rPr>
              <w:t xml:space="preserve"> Програми</w:t>
            </w:r>
          </w:p>
        </w:tc>
        <w:tc>
          <w:tcPr>
            <w:tcW w:w="6095" w:type="dxa"/>
            <w:tcBorders>
              <w:top w:val="single" w:sz="4" w:space="0" w:color="000000"/>
              <w:left w:val="single" w:sz="4" w:space="0" w:color="000000"/>
              <w:bottom w:val="single" w:sz="4" w:space="0" w:color="000000"/>
              <w:right w:val="single" w:sz="4" w:space="0" w:color="000000"/>
            </w:tcBorders>
            <w:vAlign w:val="center"/>
          </w:tcPr>
          <w:p w:rsidR="00480DF6" w:rsidRPr="007102AF" w:rsidRDefault="00D439C1" w:rsidP="008D4665">
            <w:pPr>
              <w:spacing w:line="228" w:lineRule="auto"/>
              <w:rPr>
                <w:szCs w:val="28"/>
              </w:rPr>
            </w:pPr>
            <w:r>
              <w:rPr>
                <w:szCs w:val="28"/>
              </w:rPr>
              <w:t>-</w:t>
            </w:r>
          </w:p>
        </w:tc>
      </w:tr>
      <w:tr w:rsidR="00480DF6" w:rsidRPr="007102AF" w:rsidTr="003832F7">
        <w:trPr>
          <w:trHeight w:val="687"/>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7.</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Головний розпорядник коштів Програми</w:t>
            </w:r>
          </w:p>
        </w:tc>
        <w:tc>
          <w:tcPr>
            <w:tcW w:w="6095" w:type="dxa"/>
            <w:tcBorders>
              <w:top w:val="single" w:sz="4" w:space="0" w:color="000000"/>
              <w:left w:val="single" w:sz="4" w:space="0" w:color="000000"/>
              <w:bottom w:val="single" w:sz="4" w:space="0" w:color="000000"/>
              <w:right w:val="single" w:sz="4" w:space="0" w:color="000000"/>
            </w:tcBorders>
          </w:tcPr>
          <w:p w:rsidR="00480DF6" w:rsidRPr="007102AF" w:rsidRDefault="008D4665" w:rsidP="00263454">
            <w:pPr>
              <w:spacing w:line="228" w:lineRule="auto"/>
              <w:jc w:val="both"/>
              <w:rPr>
                <w:szCs w:val="28"/>
              </w:rPr>
            </w:pPr>
            <w:r>
              <w:rPr>
                <w:szCs w:val="28"/>
              </w:rPr>
              <w:t xml:space="preserve">Департамент соціальної, сімейної політики та охорони здоров’я </w:t>
            </w:r>
            <w:r w:rsidRPr="007102AF">
              <w:rPr>
                <w:szCs w:val="28"/>
              </w:rPr>
              <w:t>Білгород-Дністровської міської ради</w:t>
            </w:r>
          </w:p>
        </w:tc>
      </w:tr>
      <w:tr w:rsidR="00480DF6" w:rsidRPr="007102AF" w:rsidTr="003832F7">
        <w:trPr>
          <w:trHeight w:val="1266"/>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lastRenderedPageBreak/>
              <w:t>8.</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Відповідальні виконавці Програми</w:t>
            </w:r>
          </w:p>
        </w:tc>
        <w:tc>
          <w:tcPr>
            <w:tcW w:w="6095" w:type="dxa"/>
            <w:tcBorders>
              <w:top w:val="single" w:sz="4" w:space="0" w:color="000000"/>
              <w:left w:val="single" w:sz="4" w:space="0" w:color="000000"/>
              <w:bottom w:val="single" w:sz="4" w:space="0" w:color="000000"/>
              <w:right w:val="single" w:sz="4" w:space="0" w:color="000000"/>
            </w:tcBorders>
          </w:tcPr>
          <w:p w:rsidR="00480DF6" w:rsidRPr="007102AF" w:rsidRDefault="003832F7" w:rsidP="003832F7">
            <w:pPr>
              <w:spacing w:line="228" w:lineRule="auto"/>
              <w:jc w:val="both"/>
              <w:rPr>
                <w:szCs w:val="28"/>
              </w:rPr>
            </w:pPr>
            <w:r>
              <w:rPr>
                <w:szCs w:val="28"/>
              </w:rPr>
              <w:t xml:space="preserve">Сектор з питань </w:t>
            </w:r>
            <w:r w:rsidR="008D4665">
              <w:rPr>
                <w:szCs w:val="28"/>
              </w:rPr>
              <w:t>сім’ї т</w:t>
            </w:r>
            <w:r>
              <w:rPr>
                <w:szCs w:val="28"/>
              </w:rPr>
              <w:t>а</w:t>
            </w:r>
            <w:r w:rsidR="008D4665">
              <w:rPr>
                <w:szCs w:val="28"/>
              </w:rPr>
              <w:t xml:space="preserve"> молоді </w:t>
            </w:r>
            <w:r w:rsidR="00480DF6" w:rsidRPr="007102AF">
              <w:rPr>
                <w:szCs w:val="28"/>
              </w:rPr>
              <w:t xml:space="preserve"> </w:t>
            </w:r>
            <w:r w:rsidR="008D4665">
              <w:rPr>
                <w:szCs w:val="28"/>
              </w:rPr>
              <w:t xml:space="preserve">Департаменту соціальної, сімейної політики та охорони здоров’я </w:t>
            </w:r>
            <w:r w:rsidR="008D4665" w:rsidRPr="007102AF">
              <w:rPr>
                <w:szCs w:val="28"/>
              </w:rPr>
              <w:t>Білгород-Дністровської міської ради</w:t>
            </w:r>
          </w:p>
        </w:tc>
      </w:tr>
      <w:tr w:rsidR="00480DF6" w:rsidRPr="007102AF" w:rsidTr="003832F7">
        <w:trPr>
          <w:trHeight w:val="641"/>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9.</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tcPr>
          <w:p w:rsidR="00480DF6" w:rsidRPr="007102AF" w:rsidRDefault="003832F7" w:rsidP="00263454">
            <w:pPr>
              <w:spacing w:line="228" w:lineRule="auto"/>
              <w:rPr>
                <w:szCs w:val="28"/>
              </w:rPr>
            </w:pPr>
            <w:r>
              <w:rPr>
                <w:szCs w:val="28"/>
              </w:rPr>
              <w:t>з 2022 – 2027</w:t>
            </w:r>
            <w:r w:rsidR="00480DF6" w:rsidRPr="007102AF">
              <w:rPr>
                <w:szCs w:val="28"/>
              </w:rPr>
              <w:t xml:space="preserve"> роки</w:t>
            </w:r>
          </w:p>
        </w:tc>
      </w:tr>
      <w:tr w:rsidR="00480DF6" w:rsidRPr="007102AF" w:rsidTr="003832F7">
        <w:trPr>
          <w:trHeight w:val="852"/>
        </w:trPr>
        <w:tc>
          <w:tcPr>
            <w:tcW w:w="648" w:type="dxa"/>
            <w:tcBorders>
              <w:top w:val="single" w:sz="4" w:space="0" w:color="000000"/>
              <w:left w:val="single" w:sz="4" w:space="0" w:color="000000"/>
              <w:bottom w:val="single" w:sz="4" w:space="0" w:color="000000"/>
              <w:right w:val="nil"/>
            </w:tcBorders>
          </w:tcPr>
          <w:p w:rsidR="00480DF6" w:rsidRPr="007102AF" w:rsidRDefault="00480DF6" w:rsidP="00263454">
            <w:pPr>
              <w:jc w:val="center"/>
              <w:rPr>
                <w:szCs w:val="28"/>
              </w:rPr>
            </w:pPr>
            <w:r w:rsidRPr="007102AF">
              <w:rPr>
                <w:szCs w:val="28"/>
              </w:rPr>
              <w:t>10.</w:t>
            </w:r>
          </w:p>
        </w:tc>
        <w:tc>
          <w:tcPr>
            <w:tcW w:w="2442" w:type="dxa"/>
            <w:tcBorders>
              <w:top w:val="single" w:sz="4" w:space="0" w:color="000000"/>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Мета Програми</w:t>
            </w:r>
          </w:p>
        </w:tc>
        <w:tc>
          <w:tcPr>
            <w:tcW w:w="6095" w:type="dxa"/>
            <w:tcBorders>
              <w:top w:val="single" w:sz="4" w:space="0" w:color="000000"/>
              <w:left w:val="single" w:sz="4" w:space="0" w:color="000000"/>
              <w:bottom w:val="single" w:sz="4" w:space="0" w:color="000000"/>
              <w:right w:val="single" w:sz="4" w:space="0" w:color="000000"/>
            </w:tcBorders>
          </w:tcPr>
          <w:p w:rsidR="00480DF6" w:rsidRPr="007102AF" w:rsidRDefault="003832F7" w:rsidP="008D4665">
            <w:pPr>
              <w:jc w:val="both"/>
              <w:rPr>
                <w:szCs w:val="28"/>
              </w:rPr>
            </w:pPr>
            <w:r>
              <w:rPr>
                <w:szCs w:val="28"/>
              </w:rPr>
              <w:t xml:space="preserve">Удосконалення </w:t>
            </w:r>
            <w:r w:rsidRPr="00CE3114">
              <w:rPr>
                <w:szCs w:val="28"/>
              </w:rPr>
              <w:t>механізму запобігання та протидії домашньому насильству та насильству за ознакою статі</w:t>
            </w:r>
            <w:r>
              <w:rPr>
                <w:szCs w:val="28"/>
              </w:rPr>
              <w:t>,</w:t>
            </w:r>
            <w:r w:rsidRPr="00CE3114">
              <w:rPr>
                <w:szCs w:val="28"/>
              </w:rPr>
              <w:t xml:space="preserve"> сприяння забезпеченню рівності прав та можливостей жінок і чоловіків та впровадження європейських стандартів рівності, запобігання торгівлі людьми, підвищення ефективності виявлення осіб, які вчиняють такі злочини або сприяють їх вчиненню, а також захист прав осіб, постраждалих від торгівлі людьми, особливо дітей, та надання їм допомоги</w:t>
            </w:r>
          </w:p>
        </w:tc>
      </w:tr>
      <w:tr w:rsidR="00480DF6" w:rsidRPr="007102AF" w:rsidTr="003832F7">
        <w:trPr>
          <w:trHeight w:val="1466"/>
        </w:trPr>
        <w:tc>
          <w:tcPr>
            <w:tcW w:w="648" w:type="dxa"/>
            <w:tcBorders>
              <w:top w:val="single" w:sz="4" w:space="0" w:color="000000"/>
              <w:left w:val="single" w:sz="4" w:space="0" w:color="auto"/>
              <w:bottom w:val="single" w:sz="4" w:space="0" w:color="auto"/>
              <w:right w:val="nil"/>
            </w:tcBorders>
          </w:tcPr>
          <w:p w:rsidR="00480DF6" w:rsidRPr="007102AF" w:rsidRDefault="00480DF6" w:rsidP="00263454">
            <w:pPr>
              <w:jc w:val="center"/>
              <w:rPr>
                <w:szCs w:val="28"/>
              </w:rPr>
            </w:pPr>
            <w:r w:rsidRPr="007102AF">
              <w:rPr>
                <w:szCs w:val="28"/>
              </w:rPr>
              <w:t>11.</w:t>
            </w:r>
          </w:p>
        </w:tc>
        <w:tc>
          <w:tcPr>
            <w:tcW w:w="2442" w:type="dxa"/>
            <w:tcBorders>
              <w:top w:val="single" w:sz="4" w:space="0" w:color="000000"/>
              <w:left w:val="single" w:sz="4" w:space="0" w:color="000000"/>
              <w:bottom w:val="single" w:sz="4" w:space="0" w:color="auto"/>
              <w:right w:val="nil"/>
            </w:tcBorders>
          </w:tcPr>
          <w:p w:rsidR="00480DF6" w:rsidRPr="007102AF" w:rsidRDefault="00480DF6" w:rsidP="00263454">
            <w:pPr>
              <w:spacing w:line="228" w:lineRule="auto"/>
              <w:rPr>
                <w:szCs w:val="28"/>
              </w:rPr>
            </w:pPr>
            <w:r w:rsidRPr="007102AF">
              <w:rPr>
                <w:szCs w:val="28"/>
              </w:rPr>
              <w:t>Загальний обсяг фінансових ресурсів, необхідних для реалізації Програми,всього:</w:t>
            </w:r>
          </w:p>
          <w:p w:rsidR="00480DF6" w:rsidRPr="007102AF" w:rsidRDefault="00480DF6" w:rsidP="00263454">
            <w:pPr>
              <w:spacing w:line="228" w:lineRule="auto"/>
              <w:rPr>
                <w:szCs w:val="28"/>
              </w:rPr>
            </w:pPr>
            <w:r w:rsidRPr="007102AF">
              <w:rPr>
                <w:szCs w:val="28"/>
              </w:rPr>
              <w:t>в тому числі:</w:t>
            </w:r>
          </w:p>
        </w:tc>
        <w:tc>
          <w:tcPr>
            <w:tcW w:w="6095" w:type="dxa"/>
            <w:tcBorders>
              <w:top w:val="single" w:sz="4" w:space="0" w:color="000000"/>
              <w:left w:val="single" w:sz="4" w:space="0" w:color="000000"/>
              <w:bottom w:val="single" w:sz="4" w:space="0" w:color="auto"/>
              <w:right w:val="single" w:sz="4" w:space="0" w:color="000000"/>
            </w:tcBorders>
          </w:tcPr>
          <w:p w:rsidR="00480DF6" w:rsidRPr="007102AF" w:rsidRDefault="008D4665" w:rsidP="00263454">
            <w:pPr>
              <w:spacing w:line="228" w:lineRule="auto"/>
              <w:jc w:val="both"/>
              <w:rPr>
                <w:szCs w:val="28"/>
              </w:rPr>
            </w:pPr>
            <w:r>
              <w:rPr>
                <w:szCs w:val="28"/>
              </w:rPr>
              <w:t>Розмір коштів на кожний окремий рік розглядається у встановленому законом порядку, затверджується рішенням сесії міської ради «Про бюджет міста».</w:t>
            </w:r>
          </w:p>
        </w:tc>
      </w:tr>
      <w:tr w:rsidR="00480DF6" w:rsidRPr="007102AF" w:rsidTr="003832F7">
        <w:trPr>
          <w:trHeight w:val="559"/>
        </w:trPr>
        <w:tc>
          <w:tcPr>
            <w:tcW w:w="648" w:type="dxa"/>
            <w:vMerge w:val="restart"/>
            <w:tcBorders>
              <w:top w:val="single" w:sz="4" w:space="0" w:color="auto"/>
              <w:left w:val="single" w:sz="4" w:space="0" w:color="auto"/>
              <w:bottom w:val="single" w:sz="4" w:space="0" w:color="auto"/>
              <w:right w:val="single" w:sz="4" w:space="0" w:color="auto"/>
            </w:tcBorders>
          </w:tcPr>
          <w:p w:rsidR="00480DF6" w:rsidRPr="007102AF" w:rsidRDefault="00480DF6" w:rsidP="00263454">
            <w:pPr>
              <w:jc w:val="center"/>
              <w:rPr>
                <w:szCs w:val="28"/>
              </w:rPr>
            </w:pPr>
          </w:p>
        </w:tc>
        <w:tc>
          <w:tcPr>
            <w:tcW w:w="2442"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pStyle w:val="a3"/>
              <w:numPr>
                <w:ilvl w:val="0"/>
                <w:numId w:val="2"/>
              </w:numPr>
              <w:ind w:left="0"/>
              <w:rPr>
                <w:szCs w:val="28"/>
              </w:rPr>
            </w:pPr>
            <w:r w:rsidRPr="007102AF">
              <w:rPr>
                <w:szCs w:val="28"/>
              </w:rPr>
              <w:t>коштів міського бюджету</w:t>
            </w:r>
            <w:r w:rsidRPr="007102AF">
              <w:rPr>
                <w:szCs w:val="28"/>
                <w:lang w:val="en-US"/>
              </w:rPr>
              <w:t>;</w:t>
            </w:r>
          </w:p>
        </w:tc>
        <w:tc>
          <w:tcPr>
            <w:tcW w:w="6095" w:type="dxa"/>
            <w:tcBorders>
              <w:top w:val="single" w:sz="4" w:space="0" w:color="auto"/>
              <w:left w:val="single" w:sz="4" w:space="0" w:color="auto"/>
              <w:bottom w:val="single" w:sz="4" w:space="0" w:color="auto"/>
              <w:right w:val="single" w:sz="4" w:space="0" w:color="auto"/>
            </w:tcBorders>
          </w:tcPr>
          <w:p w:rsidR="00480DF6" w:rsidRDefault="008A434C" w:rsidP="00D439C1">
            <w:pPr>
              <w:jc w:val="both"/>
              <w:rPr>
                <w:szCs w:val="28"/>
              </w:rPr>
            </w:pPr>
            <w:r>
              <w:rPr>
                <w:szCs w:val="28"/>
              </w:rPr>
              <w:t>286,8</w:t>
            </w:r>
            <w:r w:rsidR="007924E6">
              <w:rPr>
                <w:szCs w:val="28"/>
              </w:rPr>
              <w:t xml:space="preserve"> </w:t>
            </w:r>
            <w:r w:rsidR="00D439C1">
              <w:rPr>
                <w:szCs w:val="28"/>
              </w:rPr>
              <w:t xml:space="preserve">тис </w:t>
            </w:r>
            <w:r w:rsidR="008D4665">
              <w:rPr>
                <w:szCs w:val="28"/>
              </w:rPr>
              <w:t>грн</w:t>
            </w:r>
          </w:p>
          <w:p w:rsidR="008A434C" w:rsidRDefault="00B656B4" w:rsidP="00D439C1">
            <w:pPr>
              <w:jc w:val="both"/>
              <w:rPr>
                <w:szCs w:val="28"/>
              </w:rPr>
            </w:pPr>
            <w:r>
              <w:rPr>
                <w:szCs w:val="28"/>
              </w:rPr>
              <w:t>(</w:t>
            </w:r>
            <w:r w:rsidR="009E2518">
              <w:rPr>
                <w:szCs w:val="28"/>
              </w:rPr>
              <w:t>202</w:t>
            </w:r>
            <w:r w:rsidR="009E2518">
              <w:rPr>
                <w:szCs w:val="28"/>
                <w:lang w:val="ru-RU"/>
              </w:rPr>
              <w:t>2</w:t>
            </w:r>
            <w:r w:rsidR="008A434C">
              <w:rPr>
                <w:szCs w:val="28"/>
              </w:rPr>
              <w:t xml:space="preserve"> – 60,3 тис грн,</w:t>
            </w:r>
          </w:p>
          <w:p w:rsidR="008D4665" w:rsidRDefault="008A434C" w:rsidP="009E2518">
            <w:pPr>
              <w:tabs>
                <w:tab w:val="left" w:pos="4861"/>
              </w:tabs>
              <w:jc w:val="both"/>
              <w:rPr>
                <w:szCs w:val="28"/>
              </w:rPr>
            </w:pPr>
            <w:r>
              <w:rPr>
                <w:szCs w:val="28"/>
              </w:rPr>
              <w:t xml:space="preserve"> </w:t>
            </w:r>
            <w:r w:rsidR="003832F7">
              <w:rPr>
                <w:szCs w:val="28"/>
              </w:rPr>
              <w:t>2023</w:t>
            </w:r>
            <w:r w:rsidR="00D439C1">
              <w:rPr>
                <w:szCs w:val="28"/>
              </w:rPr>
              <w:t xml:space="preserve"> – </w:t>
            </w:r>
            <w:r>
              <w:rPr>
                <w:szCs w:val="28"/>
              </w:rPr>
              <w:t>45,3</w:t>
            </w:r>
            <w:r w:rsidR="00D439C1">
              <w:rPr>
                <w:szCs w:val="28"/>
              </w:rPr>
              <w:t xml:space="preserve"> тис грн, </w:t>
            </w:r>
            <w:r w:rsidR="009E2518">
              <w:rPr>
                <w:szCs w:val="28"/>
              </w:rPr>
              <w:tab/>
            </w:r>
            <w:bookmarkStart w:id="0" w:name="_GoBack"/>
            <w:bookmarkEnd w:id="0"/>
          </w:p>
          <w:p w:rsidR="003832F7" w:rsidRDefault="003832F7" w:rsidP="00D439C1">
            <w:pPr>
              <w:jc w:val="both"/>
              <w:rPr>
                <w:szCs w:val="28"/>
              </w:rPr>
            </w:pPr>
            <w:r>
              <w:rPr>
                <w:szCs w:val="28"/>
              </w:rPr>
              <w:t xml:space="preserve"> 2024 – </w:t>
            </w:r>
            <w:r w:rsidR="008A434C">
              <w:rPr>
                <w:szCs w:val="28"/>
              </w:rPr>
              <w:t>45,3</w:t>
            </w:r>
            <w:r>
              <w:rPr>
                <w:szCs w:val="28"/>
              </w:rPr>
              <w:t xml:space="preserve"> тис грн, </w:t>
            </w:r>
          </w:p>
          <w:p w:rsidR="007924E6" w:rsidRDefault="003832F7" w:rsidP="00D439C1">
            <w:pPr>
              <w:jc w:val="both"/>
              <w:rPr>
                <w:szCs w:val="28"/>
              </w:rPr>
            </w:pPr>
            <w:r>
              <w:rPr>
                <w:szCs w:val="28"/>
              </w:rPr>
              <w:t xml:space="preserve"> 2025 </w:t>
            </w:r>
            <w:r w:rsidR="007924E6">
              <w:rPr>
                <w:szCs w:val="28"/>
              </w:rPr>
              <w:t>–</w:t>
            </w:r>
            <w:r>
              <w:rPr>
                <w:szCs w:val="28"/>
              </w:rPr>
              <w:t xml:space="preserve"> </w:t>
            </w:r>
            <w:r w:rsidR="008A434C">
              <w:rPr>
                <w:szCs w:val="28"/>
              </w:rPr>
              <w:t>45,3</w:t>
            </w:r>
            <w:r w:rsidR="007924E6">
              <w:rPr>
                <w:szCs w:val="28"/>
              </w:rPr>
              <w:t xml:space="preserve"> тис грн,</w:t>
            </w:r>
          </w:p>
          <w:p w:rsidR="003832F7" w:rsidRDefault="003832F7" w:rsidP="00D439C1">
            <w:pPr>
              <w:jc w:val="both"/>
              <w:rPr>
                <w:szCs w:val="28"/>
              </w:rPr>
            </w:pPr>
            <w:r>
              <w:rPr>
                <w:szCs w:val="28"/>
              </w:rPr>
              <w:t xml:space="preserve"> 2026 </w:t>
            </w:r>
            <w:r w:rsidR="007924E6">
              <w:rPr>
                <w:szCs w:val="28"/>
              </w:rPr>
              <w:t>–</w:t>
            </w:r>
            <w:r>
              <w:rPr>
                <w:szCs w:val="28"/>
              </w:rPr>
              <w:t xml:space="preserve"> </w:t>
            </w:r>
            <w:r w:rsidR="008A434C">
              <w:rPr>
                <w:szCs w:val="28"/>
              </w:rPr>
              <w:t>45,3</w:t>
            </w:r>
            <w:r w:rsidR="007924E6">
              <w:rPr>
                <w:szCs w:val="28"/>
              </w:rPr>
              <w:t xml:space="preserve"> тис грн,</w:t>
            </w:r>
          </w:p>
          <w:p w:rsidR="00D439C1" w:rsidRPr="007102AF" w:rsidRDefault="003832F7" w:rsidP="008A434C">
            <w:pPr>
              <w:jc w:val="both"/>
              <w:rPr>
                <w:szCs w:val="28"/>
              </w:rPr>
            </w:pPr>
            <w:r>
              <w:rPr>
                <w:szCs w:val="28"/>
              </w:rPr>
              <w:t xml:space="preserve"> 2027 </w:t>
            </w:r>
            <w:r w:rsidR="007924E6">
              <w:rPr>
                <w:szCs w:val="28"/>
              </w:rPr>
              <w:t>–</w:t>
            </w:r>
            <w:r>
              <w:rPr>
                <w:szCs w:val="28"/>
              </w:rPr>
              <w:t xml:space="preserve"> </w:t>
            </w:r>
            <w:r w:rsidR="008A434C">
              <w:rPr>
                <w:szCs w:val="28"/>
              </w:rPr>
              <w:t>45,3</w:t>
            </w:r>
            <w:r w:rsidR="007924E6">
              <w:rPr>
                <w:szCs w:val="28"/>
              </w:rPr>
              <w:t xml:space="preserve"> тис грн</w:t>
            </w:r>
            <w:r w:rsidR="00D439C1">
              <w:rPr>
                <w:szCs w:val="28"/>
              </w:rPr>
              <w:t>)</w:t>
            </w:r>
          </w:p>
        </w:tc>
      </w:tr>
      <w:tr w:rsidR="00480DF6" w:rsidRPr="007102AF" w:rsidTr="003832F7">
        <w:trPr>
          <w:trHeight w:val="705"/>
        </w:trPr>
        <w:tc>
          <w:tcPr>
            <w:tcW w:w="648" w:type="dxa"/>
            <w:vMerge/>
            <w:tcBorders>
              <w:top w:val="single" w:sz="4" w:space="0" w:color="auto"/>
              <w:left w:val="single" w:sz="4" w:space="0" w:color="auto"/>
              <w:bottom w:val="single" w:sz="4" w:space="0" w:color="auto"/>
              <w:right w:val="single" w:sz="4" w:space="0" w:color="auto"/>
            </w:tcBorders>
          </w:tcPr>
          <w:p w:rsidR="00480DF6" w:rsidRPr="007102AF" w:rsidRDefault="00480DF6" w:rsidP="00263454">
            <w:pPr>
              <w:jc w:val="center"/>
              <w:rPr>
                <w:szCs w:val="28"/>
              </w:rPr>
            </w:pPr>
          </w:p>
        </w:tc>
        <w:tc>
          <w:tcPr>
            <w:tcW w:w="2442"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pStyle w:val="a3"/>
              <w:numPr>
                <w:ilvl w:val="0"/>
                <w:numId w:val="2"/>
              </w:numPr>
              <w:ind w:left="0"/>
              <w:rPr>
                <w:szCs w:val="28"/>
              </w:rPr>
            </w:pPr>
            <w:r w:rsidRPr="007102AF">
              <w:rPr>
                <w:szCs w:val="28"/>
              </w:rPr>
              <w:t>коштів обласного бюджету</w:t>
            </w:r>
            <w:r w:rsidRPr="007102AF">
              <w:rPr>
                <w:szCs w:val="28"/>
                <w:lang w:val="en-US"/>
              </w:rPr>
              <w:t>;</w:t>
            </w:r>
          </w:p>
        </w:tc>
        <w:tc>
          <w:tcPr>
            <w:tcW w:w="6095"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jc w:val="both"/>
              <w:rPr>
                <w:szCs w:val="28"/>
              </w:rPr>
            </w:pPr>
          </w:p>
        </w:tc>
      </w:tr>
      <w:tr w:rsidR="00480DF6" w:rsidRPr="007102AF" w:rsidTr="003832F7">
        <w:trPr>
          <w:trHeight w:val="687"/>
        </w:trPr>
        <w:tc>
          <w:tcPr>
            <w:tcW w:w="648" w:type="dxa"/>
            <w:vMerge/>
            <w:tcBorders>
              <w:top w:val="single" w:sz="4" w:space="0" w:color="auto"/>
              <w:left w:val="single" w:sz="4" w:space="0" w:color="auto"/>
              <w:bottom w:val="single" w:sz="4" w:space="0" w:color="auto"/>
              <w:right w:val="single" w:sz="4" w:space="0" w:color="auto"/>
            </w:tcBorders>
          </w:tcPr>
          <w:p w:rsidR="00480DF6" w:rsidRPr="007102AF" w:rsidRDefault="00480DF6" w:rsidP="00263454">
            <w:pPr>
              <w:jc w:val="center"/>
              <w:rPr>
                <w:szCs w:val="28"/>
              </w:rPr>
            </w:pPr>
          </w:p>
        </w:tc>
        <w:tc>
          <w:tcPr>
            <w:tcW w:w="2442"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pStyle w:val="a3"/>
              <w:numPr>
                <w:ilvl w:val="0"/>
                <w:numId w:val="2"/>
              </w:numPr>
              <w:ind w:left="0"/>
              <w:rPr>
                <w:szCs w:val="28"/>
              </w:rPr>
            </w:pPr>
            <w:r w:rsidRPr="007102AF">
              <w:rPr>
                <w:szCs w:val="28"/>
              </w:rPr>
              <w:t>коштів державного бюджету</w:t>
            </w:r>
            <w:r w:rsidRPr="007102AF">
              <w:rPr>
                <w:szCs w:val="28"/>
                <w:lang w:val="en-US"/>
              </w:rPr>
              <w:t>;</w:t>
            </w:r>
          </w:p>
        </w:tc>
        <w:tc>
          <w:tcPr>
            <w:tcW w:w="6095"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jc w:val="both"/>
              <w:rPr>
                <w:szCs w:val="28"/>
              </w:rPr>
            </w:pPr>
          </w:p>
        </w:tc>
      </w:tr>
      <w:tr w:rsidR="00480DF6" w:rsidRPr="007102AF" w:rsidTr="003832F7">
        <w:trPr>
          <w:trHeight w:val="335"/>
        </w:trPr>
        <w:tc>
          <w:tcPr>
            <w:tcW w:w="648" w:type="dxa"/>
            <w:vMerge/>
            <w:tcBorders>
              <w:top w:val="single" w:sz="4" w:space="0" w:color="auto"/>
              <w:left w:val="single" w:sz="4" w:space="0" w:color="auto"/>
              <w:bottom w:val="single" w:sz="4" w:space="0" w:color="auto"/>
              <w:right w:val="single" w:sz="4" w:space="0" w:color="auto"/>
            </w:tcBorders>
          </w:tcPr>
          <w:p w:rsidR="00480DF6" w:rsidRPr="007102AF" w:rsidRDefault="00480DF6" w:rsidP="00263454">
            <w:pPr>
              <w:jc w:val="center"/>
              <w:rPr>
                <w:szCs w:val="28"/>
              </w:rPr>
            </w:pPr>
          </w:p>
        </w:tc>
        <w:tc>
          <w:tcPr>
            <w:tcW w:w="2442"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pStyle w:val="a3"/>
              <w:numPr>
                <w:ilvl w:val="0"/>
                <w:numId w:val="2"/>
              </w:numPr>
              <w:ind w:left="0"/>
              <w:rPr>
                <w:szCs w:val="28"/>
              </w:rPr>
            </w:pPr>
            <w:r w:rsidRPr="007102AF">
              <w:rPr>
                <w:szCs w:val="28"/>
              </w:rPr>
              <w:t>кошти інших джерел</w:t>
            </w:r>
            <w:r w:rsidRPr="007102AF">
              <w:rPr>
                <w:szCs w:val="28"/>
                <w:lang w:val="en-US"/>
              </w:rPr>
              <w:t>.</w:t>
            </w:r>
          </w:p>
        </w:tc>
        <w:tc>
          <w:tcPr>
            <w:tcW w:w="6095" w:type="dxa"/>
            <w:tcBorders>
              <w:top w:val="single" w:sz="4" w:space="0" w:color="auto"/>
              <w:left w:val="single" w:sz="4" w:space="0" w:color="auto"/>
              <w:bottom w:val="single" w:sz="4" w:space="0" w:color="auto"/>
              <w:right w:val="single" w:sz="4" w:space="0" w:color="auto"/>
            </w:tcBorders>
          </w:tcPr>
          <w:p w:rsidR="00480DF6" w:rsidRPr="007102AF" w:rsidRDefault="00480DF6" w:rsidP="00D439C1">
            <w:pPr>
              <w:jc w:val="both"/>
              <w:rPr>
                <w:szCs w:val="28"/>
              </w:rPr>
            </w:pPr>
          </w:p>
        </w:tc>
      </w:tr>
      <w:tr w:rsidR="00480DF6" w:rsidRPr="007102AF" w:rsidTr="003832F7">
        <w:trPr>
          <w:trHeight w:val="802"/>
        </w:trPr>
        <w:tc>
          <w:tcPr>
            <w:tcW w:w="648" w:type="dxa"/>
            <w:tcBorders>
              <w:top w:val="single" w:sz="4" w:space="0" w:color="auto"/>
              <w:left w:val="single" w:sz="4" w:space="0" w:color="auto"/>
              <w:bottom w:val="single" w:sz="4" w:space="0" w:color="auto"/>
              <w:right w:val="nil"/>
            </w:tcBorders>
          </w:tcPr>
          <w:p w:rsidR="00480DF6" w:rsidRPr="007102AF" w:rsidRDefault="00480DF6" w:rsidP="00263454">
            <w:pPr>
              <w:jc w:val="center"/>
              <w:rPr>
                <w:szCs w:val="28"/>
              </w:rPr>
            </w:pPr>
            <w:r w:rsidRPr="007102AF">
              <w:rPr>
                <w:szCs w:val="28"/>
              </w:rPr>
              <w:t>12.</w:t>
            </w:r>
          </w:p>
        </w:tc>
        <w:tc>
          <w:tcPr>
            <w:tcW w:w="2442" w:type="dxa"/>
            <w:tcBorders>
              <w:top w:val="single" w:sz="4" w:space="0" w:color="auto"/>
              <w:left w:val="single" w:sz="4" w:space="0" w:color="000000"/>
              <w:bottom w:val="single" w:sz="4" w:space="0" w:color="auto"/>
              <w:right w:val="nil"/>
            </w:tcBorders>
          </w:tcPr>
          <w:p w:rsidR="00480DF6" w:rsidRPr="007102AF" w:rsidRDefault="00480DF6" w:rsidP="00263454">
            <w:pPr>
              <w:spacing w:line="228" w:lineRule="auto"/>
              <w:rPr>
                <w:szCs w:val="28"/>
              </w:rPr>
            </w:pPr>
            <w:proofErr w:type="spellStart"/>
            <w:r w:rsidRPr="007102AF">
              <w:rPr>
                <w:szCs w:val="28"/>
                <w:lang w:val="en-US"/>
              </w:rPr>
              <w:t>Очікувані</w:t>
            </w:r>
            <w:proofErr w:type="spellEnd"/>
            <w:r w:rsidRPr="007102AF">
              <w:rPr>
                <w:szCs w:val="28"/>
                <w:lang w:val="en-US"/>
              </w:rPr>
              <w:t xml:space="preserve"> </w:t>
            </w:r>
            <w:proofErr w:type="spellStart"/>
            <w:r w:rsidRPr="007102AF">
              <w:rPr>
                <w:szCs w:val="28"/>
                <w:lang w:val="en-US"/>
              </w:rPr>
              <w:t>результати</w:t>
            </w:r>
            <w:proofErr w:type="spellEnd"/>
            <w:r w:rsidRPr="007102AF">
              <w:rPr>
                <w:szCs w:val="28"/>
                <w:lang w:val="en-US"/>
              </w:rPr>
              <w:t xml:space="preserve"> </w:t>
            </w:r>
            <w:proofErr w:type="spellStart"/>
            <w:r w:rsidRPr="007102AF">
              <w:rPr>
                <w:szCs w:val="28"/>
                <w:lang w:val="en-US"/>
              </w:rPr>
              <w:t>виконання</w:t>
            </w:r>
            <w:proofErr w:type="spellEnd"/>
          </w:p>
        </w:tc>
        <w:tc>
          <w:tcPr>
            <w:tcW w:w="6095" w:type="dxa"/>
            <w:tcBorders>
              <w:top w:val="single" w:sz="4" w:space="0" w:color="auto"/>
              <w:left w:val="single" w:sz="4" w:space="0" w:color="000000"/>
              <w:bottom w:val="single" w:sz="4" w:space="0" w:color="auto"/>
              <w:right w:val="single" w:sz="4" w:space="0" w:color="000000"/>
            </w:tcBorders>
          </w:tcPr>
          <w:p w:rsidR="006726E1" w:rsidRPr="006726E1" w:rsidRDefault="006726E1" w:rsidP="006726E1">
            <w:pPr>
              <w:pStyle w:val="a3"/>
              <w:widowControl w:val="0"/>
              <w:numPr>
                <w:ilvl w:val="0"/>
                <w:numId w:val="6"/>
              </w:numPr>
              <w:tabs>
                <w:tab w:val="left" w:pos="824"/>
              </w:tabs>
              <w:autoSpaceDE w:val="0"/>
              <w:autoSpaceDN w:val="0"/>
              <w:ind w:right="111" w:firstLine="0"/>
              <w:contextualSpacing w:val="0"/>
              <w:jc w:val="both"/>
              <w:rPr>
                <w:szCs w:val="28"/>
              </w:rPr>
            </w:pPr>
            <w:r>
              <w:rPr>
                <w:szCs w:val="28"/>
              </w:rPr>
              <w:t xml:space="preserve">створення </w:t>
            </w:r>
            <w:r>
              <w:t>ефективного механізму партнерства та взаємодії між органами</w:t>
            </w:r>
            <w:r>
              <w:rPr>
                <w:spacing w:val="1"/>
              </w:rPr>
              <w:t xml:space="preserve"> </w:t>
            </w:r>
            <w:r>
              <w:t>виконавчої</w:t>
            </w:r>
            <w:r>
              <w:rPr>
                <w:spacing w:val="1"/>
              </w:rPr>
              <w:t xml:space="preserve"> </w:t>
            </w:r>
            <w:r>
              <w:t>влади</w:t>
            </w:r>
            <w:r>
              <w:rPr>
                <w:spacing w:val="1"/>
              </w:rPr>
              <w:t xml:space="preserve"> </w:t>
            </w:r>
            <w:r>
              <w:t>та</w:t>
            </w:r>
            <w:r>
              <w:rPr>
                <w:spacing w:val="1"/>
              </w:rPr>
              <w:t xml:space="preserve"> </w:t>
            </w:r>
            <w:r>
              <w:t>громадськими</w:t>
            </w:r>
            <w:r>
              <w:rPr>
                <w:spacing w:val="1"/>
              </w:rPr>
              <w:t xml:space="preserve"> </w:t>
            </w:r>
            <w:r>
              <w:t>організаціями,</w:t>
            </w:r>
            <w:r>
              <w:rPr>
                <w:spacing w:val="1"/>
              </w:rPr>
              <w:t xml:space="preserve"> </w:t>
            </w:r>
            <w:r>
              <w:t>вдосконаленню</w:t>
            </w:r>
            <w:r>
              <w:rPr>
                <w:spacing w:val="1"/>
              </w:rPr>
              <w:t xml:space="preserve"> </w:t>
            </w:r>
            <w:r>
              <w:t>механізму</w:t>
            </w:r>
            <w:r>
              <w:rPr>
                <w:spacing w:val="1"/>
              </w:rPr>
              <w:t xml:space="preserve"> </w:t>
            </w:r>
            <w:r>
              <w:t>запобігання</w:t>
            </w:r>
            <w:r>
              <w:rPr>
                <w:spacing w:val="1"/>
              </w:rPr>
              <w:t xml:space="preserve"> </w:t>
            </w:r>
            <w:r>
              <w:t>та</w:t>
            </w:r>
            <w:r>
              <w:rPr>
                <w:spacing w:val="1"/>
              </w:rPr>
              <w:t xml:space="preserve"> </w:t>
            </w:r>
            <w:r>
              <w:t>протидії</w:t>
            </w:r>
            <w:r>
              <w:rPr>
                <w:spacing w:val="1"/>
              </w:rPr>
              <w:t xml:space="preserve"> </w:t>
            </w:r>
            <w:r>
              <w:t>домашньому</w:t>
            </w:r>
            <w:r>
              <w:rPr>
                <w:spacing w:val="1"/>
              </w:rPr>
              <w:t xml:space="preserve"> </w:t>
            </w:r>
            <w:r>
              <w:t>насильству;</w:t>
            </w:r>
            <w:r>
              <w:rPr>
                <w:spacing w:val="1"/>
              </w:rPr>
              <w:t xml:space="preserve"> </w:t>
            </w:r>
          </w:p>
          <w:p w:rsidR="007924E6" w:rsidRPr="007924E6" w:rsidRDefault="006726E1" w:rsidP="006726E1">
            <w:pPr>
              <w:pStyle w:val="a3"/>
              <w:widowControl w:val="0"/>
              <w:numPr>
                <w:ilvl w:val="0"/>
                <w:numId w:val="6"/>
              </w:numPr>
              <w:tabs>
                <w:tab w:val="left" w:pos="824"/>
              </w:tabs>
              <w:autoSpaceDE w:val="0"/>
              <w:autoSpaceDN w:val="0"/>
              <w:ind w:right="115" w:firstLine="0"/>
              <w:contextualSpacing w:val="0"/>
              <w:jc w:val="both"/>
            </w:pPr>
            <w:r>
              <w:t>забезпечення ефективного</w:t>
            </w:r>
            <w:r>
              <w:rPr>
                <w:spacing w:val="1"/>
              </w:rPr>
              <w:t xml:space="preserve"> </w:t>
            </w:r>
            <w:r>
              <w:t>реагування</w:t>
            </w:r>
            <w:r>
              <w:rPr>
                <w:spacing w:val="1"/>
              </w:rPr>
              <w:t xml:space="preserve"> </w:t>
            </w:r>
            <w:r>
              <w:t>на</w:t>
            </w:r>
            <w:r>
              <w:rPr>
                <w:spacing w:val="1"/>
              </w:rPr>
              <w:t xml:space="preserve"> </w:t>
            </w:r>
          </w:p>
          <w:p w:rsidR="007924E6" w:rsidRDefault="007924E6" w:rsidP="007924E6">
            <w:pPr>
              <w:pStyle w:val="a3"/>
              <w:widowControl w:val="0"/>
              <w:tabs>
                <w:tab w:val="left" w:pos="824"/>
              </w:tabs>
              <w:autoSpaceDE w:val="0"/>
              <w:autoSpaceDN w:val="0"/>
              <w:ind w:left="104" w:right="115"/>
              <w:contextualSpacing w:val="0"/>
              <w:jc w:val="both"/>
              <w:rPr>
                <w:spacing w:val="1"/>
              </w:rPr>
            </w:pPr>
          </w:p>
          <w:p w:rsidR="006726E1" w:rsidRDefault="006726E1" w:rsidP="007924E6">
            <w:pPr>
              <w:pStyle w:val="a3"/>
              <w:widowControl w:val="0"/>
              <w:tabs>
                <w:tab w:val="left" w:pos="824"/>
              </w:tabs>
              <w:autoSpaceDE w:val="0"/>
              <w:autoSpaceDN w:val="0"/>
              <w:ind w:left="104" w:right="115"/>
              <w:contextualSpacing w:val="0"/>
              <w:jc w:val="both"/>
            </w:pPr>
            <w:r>
              <w:t>факти</w:t>
            </w:r>
            <w:r>
              <w:rPr>
                <w:spacing w:val="1"/>
              </w:rPr>
              <w:t xml:space="preserve"> </w:t>
            </w:r>
            <w:r>
              <w:t>домашнього</w:t>
            </w:r>
            <w:r>
              <w:rPr>
                <w:spacing w:val="1"/>
              </w:rPr>
              <w:t xml:space="preserve"> </w:t>
            </w:r>
            <w:r>
              <w:t>насильства</w:t>
            </w:r>
            <w:r>
              <w:rPr>
                <w:spacing w:val="1"/>
              </w:rPr>
              <w:t xml:space="preserve"> </w:t>
            </w:r>
            <w:r>
              <w:t>через</w:t>
            </w:r>
            <w:r>
              <w:rPr>
                <w:spacing w:val="1"/>
              </w:rPr>
              <w:t xml:space="preserve"> </w:t>
            </w:r>
            <w:r>
              <w:t>впровадження</w:t>
            </w:r>
            <w:r>
              <w:rPr>
                <w:spacing w:val="1"/>
              </w:rPr>
              <w:t xml:space="preserve"> </w:t>
            </w:r>
            <w:r>
              <w:t>механізму</w:t>
            </w:r>
            <w:r>
              <w:rPr>
                <w:spacing w:val="1"/>
              </w:rPr>
              <w:t xml:space="preserve"> </w:t>
            </w:r>
            <w:r>
              <w:t>взаємодії</w:t>
            </w:r>
            <w:r>
              <w:rPr>
                <w:spacing w:val="1"/>
              </w:rPr>
              <w:t xml:space="preserve"> </w:t>
            </w:r>
            <w:r>
              <w:t>суб’єктів,</w:t>
            </w:r>
            <w:r>
              <w:rPr>
                <w:spacing w:val="1"/>
              </w:rPr>
              <w:t xml:space="preserve"> </w:t>
            </w:r>
            <w:r>
              <w:t>які</w:t>
            </w:r>
            <w:r>
              <w:rPr>
                <w:spacing w:val="1"/>
              </w:rPr>
              <w:t xml:space="preserve"> </w:t>
            </w:r>
            <w:r>
              <w:t>реалізують</w:t>
            </w:r>
            <w:r>
              <w:rPr>
                <w:spacing w:val="1"/>
              </w:rPr>
              <w:t xml:space="preserve"> </w:t>
            </w:r>
            <w:r>
              <w:t>заходи</w:t>
            </w:r>
            <w:r>
              <w:rPr>
                <w:spacing w:val="1"/>
              </w:rPr>
              <w:t xml:space="preserve"> </w:t>
            </w:r>
            <w:r>
              <w:t>щодо</w:t>
            </w:r>
            <w:r>
              <w:rPr>
                <w:spacing w:val="1"/>
              </w:rPr>
              <w:t xml:space="preserve"> </w:t>
            </w:r>
            <w:r>
              <w:t>запобігання та протидії домашньому насильству, надання допомоги та захисту</w:t>
            </w:r>
            <w:r>
              <w:rPr>
                <w:spacing w:val="1"/>
              </w:rPr>
              <w:t xml:space="preserve"> </w:t>
            </w:r>
            <w:r>
              <w:t>особам, постраждалим від домашнього насильства та насильства за ознакою статі,</w:t>
            </w:r>
            <w:r>
              <w:rPr>
                <w:spacing w:val="1"/>
              </w:rPr>
              <w:t xml:space="preserve"> </w:t>
            </w:r>
            <w:r>
              <w:t>притягнення</w:t>
            </w:r>
            <w:r>
              <w:rPr>
                <w:spacing w:val="1"/>
              </w:rPr>
              <w:t xml:space="preserve"> </w:t>
            </w:r>
            <w:r>
              <w:t>кривдників до передбаченої</w:t>
            </w:r>
            <w:r>
              <w:rPr>
                <w:spacing w:val="1"/>
              </w:rPr>
              <w:t xml:space="preserve"> </w:t>
            </w:r>
            <w:r>
              <w:t>законом відповідальності та корекція</w:t>
            </w:r>
            <w:r>
              <w:rPr>
                <w:spacing w:val="1"/>
              </w:rPr>
              <w:t xml:space="preserve"> </w:t>
            </w:r>
            <w:r>
              <w:t>їхньої</w:t>
            </w:r>
            <w:r>
              <w:rPr>
                <w:spacing w:val="-1"/>
              </w:rPr>
              <w:t xml:space="preserve"> </w:t>
            </w:r>
            <w:r>
              <w:t>поведінки;</w:t>
            </w:r>
          </w:p>
          <w:p w:rsidR="006726E1" w:rsidRDefault="006726E1" w:rsidP="006726E1">
            <w:pPr>
              <w:pStyle w:val="a3"/>
              <w:widowControl w:val="0"/>
              <w:numPr>
                <w:ilvl w:val="0"/>
                <w:numId w:val="6"/>
              </w:numPr>
              <w:tabs>
                <w:tab w:val="left" w:pos="824"/>
              </w:tabs>
              <w:autoSpaceDE w:val="0"/>
              <w:autoSpaceDN w:val="0"/>
              <w:ind w:right="115" w:firstLine="0"/>
              <w:contextualSpacing w:val="0"/>
              <w:jc w:val="both"/>
              <w:rPr>
                <w:szCs w:val="28"/>
              </w:rPr>
            </w:pPr>
            <w:r w:rsidRPr="006726E1">
              <w:rPr>
                <w:szCs w:val="28"/>
              </w:rPr>
              <w:t>підвищення рівня поінформованості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статі;</w:t>
            </w:r>
          </w:p>
          <w:p w:rsidR="006726E1" w:rsidRDefault="006726E1" w:rsidP="006726E1">
            <w:pPr>
              <w:pStyle w:val="a3"/>
              <w:widowControl w:val="0"/>
              <w:numPr>
                <w:ilvl w:val="0"/>
                <w:numId w:val="6"/>
              </w:numPr>
              <w:tabs>
                <w:tab w:val="left" w:pos="824"/>
              </w:tabs>
              <w:autoSpaceDE w:val="0"/>
              <w:autoSpaceDN w:val="0"/>
              <w:ind w:right="115" w:firstLine="0"/>
              <w:contextualSpacing w:val="0"/>
              <w:jc w:val="both"/>
              <w:rPr>
                <w:szCs w:val="28"/>
              </w:rPr>
            </w:pPr>
            <w:r>
              <w:rPr>
                <w:szCs w:val="28"/>
              </w:rPr>
              <w:t>забезпечення доступу до спеціалізованих служб підтримки постраждалих осіб для отримання соціальних послуг, медичної, правової, психологічної допомоги;</w:t>
            </w:r>
          </w:p>
          <w:p w:rsidR="006726E1" w:rsidRDefault="006726E1" w:rsidP="006726E1">
            <w:pPr>
              <w:pStyle w:val="a3"/>
              <w:widowControl w:val="0"/>
              <w:numPr>
                <w:ilvl w:val="0"/>
                <w:numId w:val="6"/>
              </w:numPr>
              <w:tabs>
                <w:tab w:val="left" w:pos="824"/>
              </w:tabs>
              <w:autoSpaceDE w:val="0"/>
              <w:autoSpaceDN w:val="0"/>
              <w:ind w:right="115" w:firstLine="0"/>
              <w:contextualSpacing w:val="0"/>
              <w:jc w:val="both"/>
              <w:rPr>
                <w:szCs w:val="28"/>
              </w:rPr>
            </w:pPr>
            <w:r>
              <w:rPr>
                <w:szCs w:val="28"/>
              </w:rPr>
              <w:t>підвищення рівня обізнаності населення щодо ризиків потрапляння в ситуацію торгівлі людьми;</w:t>
            </w:r>
          </w:p>
          <w:p w:rsidR="006726E1" w:rsidRPr="006726E1" w:rsidRDefault="006726E1" w:rsidP="006726E1">
            <w:pPr>
              <w:pStyle w:val="a3"/>
              <w:widowControl w:val="0"/>
              <w:numPr>
                <w:ilvl w:val="0"/>
                <w:numId w:val="6"/>
              </w:numPr>
              <w:tabs>
                <w:tab w:val="left" w:pos="824"/>
              </w:tabs>
              <w:autoSpaceDE w:val="0"/>
              <w:autoSpaceDN w:val="0"/>
              <w:ind w:right="115" w:firstLine="0"/>
              <w:contextualSpacing w:val="0"/>
              <w:jc w:val="both"/>
              <w:rPr>
                <w:szCs w:val="28"/>
              </w:rPr>
            </w:pPr>
            <w:r w:rsidRPr="006726E1">
              <w:rPr>
                <w:szCs w:val="28"/>
              </w:rPr>
              <w:t>забезпечення гендерної рівності, розширення статистичних показників;</w:t>
            </w:r>
          </w:p>
          <w:p w:rsidR="006726E1" w:rsidRDefault="006726E1" w:rsidP="006726E1">
            <w:pPr>
              <w:pStyle w:val="a3"/>
              <w:numPr>
                <w:ilvl w:val="0"/>
                <w:numId w:val="2"/>
              </w:numPr>
              <w:ind w:left="39" w:firstLine="0"/>
              <w:jc w:val="both"/>
              <w:rPr>
                <w:szCs w:val="28"/>
              </w:rPr>
            </w:pPr>
            <w:r>
              <w:rPr>
                <w:szCs w:val="28"/>
              </w:rPr>
              <w:t xml:space="preserve">  розроблення тематичної соціальної реклами для розміщення в засобах масової інформації</w:t>
            </w:r>
            <w:r w:rsidR="00793664">
              <w:rPr>
                <w:szCs w:val="28"/>
              </w:rPr>
              <w:t>;</w:t>
            </w:r>
          </w:p>
          <w:p w:rsidR="00793664" w:rsidRPr="006726E1" w:rsidRDefault="00793664" w:rsidP="00793664">
            <w:pPr>
              <w:pStyle w:val="a3"/>
              <w:numPr>
                <w:ilvl w:val="0"/>
                <w:numId w:val="2"/>
              </w:numPr>
              <w:ind w:left="39" w:firstLine="0"/>
              <w:jc w:val="both"/>
              <w:rPr>
                <w:szCs w:val="28"/>
              </w:rPr>
            </w:pPr>
            <w:r>
              <w:rPr>
                <w:szCs w:val="28"/>
              </w:rPr>
              <w:t xml:space="preserve">зростання довіри громадян до </w:t>
            </w:r>
            <w:proofErr w:type="spellStart"/>
            <w:r>
              <w:rPr>
                <w:szCs w:val="28"/>
              </w:rPr>
              <w:t>суб</w:t>
            </w:r>
            <w:proofErr w:type="spellEnd"/>
            <w:r>
              <w:rPr>
                <w:szCs w:val="28"/>
                <w:rtl/>
              </w:rPr>
              <w:t>ﹸ</w:t>
            </w:r>
            <w:proofErr w:type="spellStart"/>
            <w:r>
              <w:rPr>
                <w:szCs w:val="28"/>
              </w:rPr>
              <w:t>єктів</w:t>
            </w:r>
            <w:proofErr w:type="spellEnd"/>
            <w:r>
              <w:rPr>
                <w:szCs w:val="28"/>
              </w:rPr>
              <w:t>, що здійснюють заходи у сфері запобігання та протидії домашньому насильству та насильству за ознакою статі, протидії торгівлі людьми, подолання психологічних та інших бар</w:t>
            </w:r>
            <w:r>
              <w:rPr>
                <w:szCs w:val="28"/>
                <w:rtl/>
              </w:rPr>
              <w:t>ﹸ</w:t>
            </w:r>
            <w:proofErr w:type="spellStart"/>
            <w:r>
              <w:rPr>
                <w:szCs w:val="28"/>
              </w:rPr>
              <w:t>єрів</w:t>
            </w:r>
            <w:proofErr w:type="spellEnd"/>
            <w:r>
              <w:rPr>
                <w:szCs w:val="28"/>
              </w:rPr>
              <w:t xml:space="preserve"> щодо звернень до цих </w:t>
            </w:r>
            <w:proofErr w:type="spellStart"/>
            <w:r>
              <w:rPr>
                <w:szCs w:val="28"/>
              </w:rPr>
              <w:t>суб</w:t>
            </w:r>
            <w:proofErr w:type="spellEnd"/>
            <w:r>
              <w:rPr>
                <w:szCs w:val="28"/>
                <w:rtl/>
              </w:rPr>
              <w:t>ﹸ</w:t>
            </w:r>
            <w:proofErr w:type="spellStart"/>
            <w:r>
              <w:rPr>
                <w:szCs w:val="28"/>
              </w:rPr>
              <w:t>єктів</w:t>
            </w:r>
            <w:proofErr w:type="spellEnd"/>
          </w:p>
        </w:tc>
      </w:tr>
      <w:tr w:rsidR="00480DF6" w:rsidRPr="007102AF" w:rsidTr="003832F7">
        <w:trPr>
          <w:trHeight w:val="280"/>
        </w:trPr>
        <w:tc>
          <w:tcPr>
            <w:tcW w:w="648" w:type="dxa"/>
            <w:tcBorders>
              <w:top w:val="single" w:sz="4" w:space="0" w:color="auto"/>
              <w:left w:val="single" w:sz="4" w:space="0" w:color="auto"/>
              <w:bottom w:val="single" w:sz="4" w:space="0" w:color="000000"/>
              <w:right w:val="nil"/>
            </w:tcBorders>
          </w:tcPr>
          <w:p w:rsidR="00480DF6" w:rsidRPr="007102AF" w:rsidRDefault="00480DF6" w:rsidP="00263454">
            <w:pPr>
              <w:jc w:val="center"/>
              <w:rPr>
                <w:szCs w:val="28"/>
              </w:rPr>
            </w:pPr>
            <w:r w:rsidRPr="007102AF">
              <w:rPr>
                <w:szCs w:val="28"/>
              </w:rPr>
              <w:lastRenderedPageBreak/>
              <w:t>13.</w:t>
            </w:r>
          </w:p>
        </w:tc>
        <w:tc>
          <w:tcPr>
            <w:tcW w:w="2442" w:type="dxa"/>
            <w:tcBorders>
              <w:top w:val="single" w:sz="4" w:space="0" w:color="auto"/>
              <w:left w:val="single" w:sz="4" w:space="0" w:color="000000"/>
              <w:bottom w:val="single" w:sz="4" w:space="0" w:color="000000"/>
              <w:right w:val="nil"/>
            </w:tcBorders>
          </w:tcPr>
          <w:p w:rsidR="00480DF6" w:rsidRPr="007102AF" w:rsidRDefault="00480DF6" w:rsidP="00263454">
            <w:pPr>
              <w:spacing w:line="228" w:lineRule="auto"/>
              <w:rPr>
                <w:szCs w:val="28"/>
              </w:rPr>
            </w:pPr>
            <w:r w:rsidRPr="007102AF">
              <w:rPr>
                <w:szCs w:val="28"/>
              </w:rPr>
              <w:t>Контроль за виконанням</w:t>
            </w:r>
          </w:p>
        </w:tc>
        <w:tc>
          <w:tcPr>
            <w:tcW w:w="6095" w:type="dxa"/>
            <w:tcBorders>
              <w:top w:val="single" w:sz="4" w:space="0" w:color="auto"/>
              <w:left w:val="single" w:sz="4" w:space="0" w:color="000000"/>
              <w:bottom w:val="single" w:sz="4" w:space="0" w:color="000000"/>
              <w:right w:val="single" w:sz="4" w:space="0" w:color="000000"/>
            </w:tcBorders>
          </w:tcPr>
          <w:p w:rsidR="00480DF6" w:rsidRPr="007102AF" w:rsidRDefault="00D439C1" w:rsidP="00263454">
            <w:pPr>
              <w:spacing w:line="228" w:lineRule="auto"/>
              <w:rPr>
                <w:szCs w:val="28"/>
              </w:rPr>
            </w:pPr>
            <w:r>
              <w:rPr>
                <w:szCs w:val="28"/>
              </w:rPr>
              <w:t xml:space="preserve">Департамент соціальної, сімейної політики та охорони здоров’я </w:t>
            </w:r>
            <w:r w:rsidRPr="007102AF">
              <w:rPr>
                <w:szCs w:val="28"/>
              </w:rPr>
              <w:t>Білгород-Дністровської міської ради</w:t>
            </w:r>
          </w:p>
        </w:tc>
      </w:tr>
    </w:tbl>
    <w:p w:rsidR="00480DF6" w:rsidRDefault="00480DF6" w:rsidP="00480DF6">
      <w:pPr>
        <w:spacing w:after="120"/>
        <w:jc w:val="center"/>
        <w:outlineLvl w:val="0"/>
        <w:rPr>
          <w:szCs w:val="28"/>
        </w:rPr>
      </w:pPr>
      <w:r>
        <w:rPr>
          <w:szCs w:val="28"/>
        </w:rPr>
        <w:t xml:space="preserve">   </w:t>
      </w:r>
    </w:p>
    <w:p w:rsidR="00480DF6" w:rsidRDefault="00480DF6" w:rsidP="00480DF6">
      <w:pPr>
        <w:spacing w:after="120"/>
        <w:jc w:val="center"/>
        <w:outlineLvl w:val="0"/>
        <w:rPr>
          <w:szCs w:val="28"/>
        </w:rPr>
      </w:pPr>
    </w:p>
    <w:p w:rsidR="00480DF6" w:rsidRDefault="00480DF6" w:rsidP="00480DF6">
      <w:pPr>
        <w:spacing w:after="120"/>
        <w:jc w:val="center"/>
        <w:outlineLvl w:val="0"/>
        <w:rPr>
          <w:szCs w:val="28"/>
        </w:rPr>
      </w:pPr>
    </w:p>
    <w:p w:rsidR="003813DF" w:rsidRDefault="003813DF" w:rsidP="00480DF6">
      <w:pPr>
        <w:spacing w:after="120"/>
        <w:jc w:val="center"/>
        <w:outlineLvl w:val="0"/>
        <w:rPr>
          <w:szCs w:val="28"/>
        </w:rPr>
      </w:pPr>
    </w:p>
    <w:p w:rsidR="003813DF" w:rsidRDefault="003813DF" w:rsidP="00480DF6">
      <w:pPr>
        <w:spacing w:after="120"/>
        <w:jc w:val="center"/>
        <w:outlineLvl w:val="0"/>
        <w:rPr>
          <w:szCs w:val="28"/>
        </w:rPr>
      </w:pPr>
    </w:p>
    <w:p w:rsidR="003813DF" w:rsidRPr="00683336" w:rsidRDefault="003813DF" w:rsidP="003813DF">
      <w:pPr>
        <w:pStyle w:val="a3"/>
        <w:numPr>
          <w:ilvl w:val="0"/>
          <w:numId w:val="8"/>
        </w:numPr>
        <w:jc w:val="center"/>
        <w:rPr>
          <w:b/>
          <w:szCs w:val="28"/>
        </w:rPr>
      </w:pPr>
      <w:r w:rsidRPr="00683336">
        <w:rPr>
          <w:b/>
          <w:szCs w:val="28"/>
        </w:rPr>
        <w:lastRenderedPageBreak/>
        <w:t>ЗАГАЛЬНІ ПОЛОЖЕННЯ.</w:t>
      </w:r>
    </w:p>
    <w:p w:rsidR="003813DF" w:rsidRPr="003D72F5" w:rsidRDefault="003813DF" w:rsidP="003813DF">
      <w:pPr>
        <w:jc w:val="center"/>
        <w:rPr>
          <w:b/>
          <w:szCs w:val="28"/>
        </w:rPr>
      </w:pPr>
    </w:p>
    <w:p w:rsidR="003813DF" w:rsidRPr="002549E5" w:rsidRDefault="003813DF" w:rsidP="003813DF">
      <w:pPr>
        <w:ind w:firstLine="708"/>
        <w:jc w:val="both"/>
        <w:rPr>
          <w:szCs w:val="28"/>
        </w:rPr>
      </w:pPr>
      <w:r w:rsidRPr="002549E5">
        <w:rPr>
          <w:szCs w:val="28"/>
        </w:rPr>
        <w:t xml:space="preserve">Міська цільова комплексна Програма «Запобігання та протидія домашньому насильству і насильству за ознакою статі, забезпечення гендерної рівності, протидії торгівлі людьми  в місті Білгороді-Дністровському на період до 2027 року» розроблена Департаментом соціальної, сімейної політики та охорони здоров’я Білгород-Дністровської міської ради відповідно до Конституції України, Закону  України  </w:t>
      </w:r>
      <w:r>
        <w:rPr>
          <w:szCs w:val="28"/>
        </w:rPr>
        <w:t xml:space="preserve">«Про місцеве самоврядування», </w:t>
      </w:r>
      <w:r w:rsidRPr="002549E5">
        <w:rPr>
          <w:szCs w:val="28"/>
        </w:rPr>
        <w:t>«Про охорону д</w:t>
      </w:r>
      <w:r>
        <w:rPr>
          <w:szCs w:val="28"/>
        </w:rPr>
        <w:t xml:space="preserve">итинства», </w:t>
      </w:r>
      <w:r w:rsidRPr="002549E5">
        <w:rPr>
          <w:szCs w:val="28"/>
        </w:rPr>
        <w:t>«Про запобігання та протидію домашньому насильству», «Про протидію торгівлі людьми», «Про забезпечення рівних прав та можливостей жінок і чоловіків», постанови Кабінету Міністрів України «Питання державної соціальної програми запобігання та протидії домашньому насильству та насильству за ознакою статі на період до 2025 року», Указу Президента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постанов Кабінету Міністрів України та інших нормативних документів.</w:t>
      </w:r>
      <w:r>
        <w:rPr>
          <w:szCs w:val="28"/>
        </w:rPr>
        <w:t xml:space="preserve"> </w:t>
      </w:r>
    </w:p>
    <w:p w:rsidR="003813DF" w:rsidRDefault="003813DF" w:rsidP="003813DF">
      <w:pPr>
        <w:ind w:firstLine="708"/>
        <w:jc w:val="both"/>
        <w:rPr>
          <w:szCs w:val="28"/>
        </w:rPr>
      </w:pPr>
      <w:r w:rsidRPr="00FE1BF1">
        <w:rPr>
          <w:szCs w:val="28"/>
        </w:rPr>
        <w:t>Програму розроблено з метою створення дієвого механізму запобігання та протидії домашньому насильству та насильству за ознакою статі; забезпечення рівних прав та можливостей жінок і чоловіків у всіх сферах життя суспільства та впровадження європейських стандартів рівності; запобігання торгівлі людьми, підвищення ефективності виявлення осіб, які вчиняють такі злочини або сприяють їх вчиненню, а також захист прав осіб, постраждалих від торгівлі людьми, особливо дітей, та надання їм допомоги.</w:t>
      </w:r>
    </w:p>
    <w:p w:rsidR="003813DF" w:rsidRPr="00FE1BF1" w:rsidRDefault="003813DF" w:rsidP="003813DF">
      <w:pPr>
        <w:ind w:firstLine="708"/>
        <w:jc w:val="both"/>
        <w:rPr>
          <w:szCs w:val="28"/>
        </w:rPr>
      </w:pPr>
    </w:p>
    <w:p w:rsidR="003813DF" w:rsidRDefault="003813DF" w:rsidP="003813DF">
      <w:pPr>
        <w:pStyle w:val="a3"/>
        <w:numPr>
          <w:ilvl w:val="0"/>
          <w:numId w:val="8"/>
        </w:numPr>
        <w:jc w:val="center"/>
        <w:rPr>
          <w:b/>
          <w:szCs w:val="28"/>
        </w:rPr>
      </w:pPr>
      <w:r>
        <w:rPr>
          <w:b/>
          <w:szCs w:val="28"/>
        </w:rPr>
        <w:t>ВИЗНАЧЕННЯ ПРОБЛЕМ ТА ОБГРУНТУВАННЯ</w:t>
      </w:r>
    </w:p>
    <w:p w:rsidR="003813DF" w:rsidRPr="00683336" w:rsidRDefault="003813DF" w:rsidP="003813DF">
      <w:pPr>
        <w:pStyle w:val="a3"/>
        <w:jc w:val="center"/>
        <w:rPr>
          <w:b/>
          <w:szCs w:val="28"/>
        </w:rPr>
      </w:pPr>
      <w:r>
        <w:rPr>
          <w:b/>
          <w:szCs w:val="28"/>
        </w:rPr>
        <w:t>ЇХ РОЗВꞌЯЗАННЯ ПРОГРАМНИМ МЕТОДОМ</w:t>
      </w:r>
    </w:p>
    <w:p w:rsidR="003813DF" w:rsidRDefault="003813DF" w:rsidP="003813DF">
      <w:pPr>
        <w:ind w:firstLine="708"/>
        <w:jc w:val="center"/>
        <w:rPr>
          <w:szCs w:val="28"/>
        </w:rPr>
      </w:pPr>
    </w:p>
    <w:p w:rsidR="003813DF" w:rsidRDefault="003813DF" w:rsidP="003813DF">
      <w:pPr>
        <w:pStyle w:val="a3"/>
        <w:spacing w:after="360"/>
        <w:ind w:left="0" w:firstLine="708"/>
        <w:jc w:val="both"/>
        <w:rPr>
          <w:rFonts w:eastAsia="Times New Roman"/>
          <w:sz w:val="24"/>
          <w:szCs w:val="24"/>
          <w:lang w:eastAsia="ru-RU"/>
        </w:rPr>
      </w:pPr>
      <w:r w:rsidRPr="00FE1BF1">
        <w:rPr>
          <w:rFonts w:eastAsia="Times New Roman"/>
          <w:szCs w:val="28"/>
          <w:lang w:eastAsia="ru-RU"/>
        </w:rPr>
        <w:t>Насильство щодо жінок виступає одним з головних порушень прав людини, причини якого пов’язані з нерівним розподілом ресурсів та повноважень між жінками та чоловіками. Окрім безпосередньої шкоди для здоров’я та добробуту постраждалих, насильство має вагомі суспільні наслідки, які вимірюються грошовими, трудовими та нематеріальними втратами, виявляються у формі поточних, довготривалих або відкладених ефектів. Економічні втрати внаслідок насильства щодо жінок розподіляються між різними представниками суспільства, включаючи самих потерпілих, членів їхніх сімей та кривдників, роботодавців, які несуть збитки внаслідок непрацездатності працівників, державні та громадські організації, які надають послуги жертвам, страхові фонди та бюджети різного рівня, платників податків та економіку країни загалом. Непрямі витрати пов’язані з психологічними наслідками насильства, які можуть призводити до стресових розладів, впливати на дітей, які стали свідками подібних випадків, ускладнювати сімейні стосунки та погіршувати якість життя постраждалих, що наразі складно оцінити економічним еквівалентом</w:t>
      </w:r>
      <w:r w:rsidRPr="00FE1BF1">
        <w:rPr>
          <w:rFonts w:eastAsia="Times New Roman"/>
          <w:sz w:val="24"/>
          <w:szCs w:val="24"/>
          <w:lang w:eastAsia="ru-RU"/>
        </w:rPr>
        <w:t>.</w:t>
      </w:r>
    </w:p>
    <w:p w:rsidR="003813DF" w:rsidRDefault="003813DF" w:rsidP="003813DF">
      <w:pPr>
        <w:pStyle w:val="a3"/>
        <w:spacing w:after="360"/>
        <w:ind w:left="0" w:firstLine="708"/>
        <w:jc w:val="both"/>
        <w:rPr>
          <w:rFonts w:eastAsia="Times New Roman"/>
          <w:szCs w:val="28"/>
          <w:lang w:eastAsia="ru-RU"/>
        </w:rPr>
      </w:pPr>
      <w:r w:rsidRPr="00285B82">
        <w:rPr>
          <w:rFonts w:eastAsia="Times New Roman"/>
          <w:szCs w:val="28"/>
          <w:lang w:eastAsia="ru-RU"/>
        </w:rPr>
        <w:lastRenderedPageBreak/>
        <w:t>Економічна оцінка наслідків насильства щодо жінок уск</w:t>
      </w:r>
      <w:r>
        <w:rPr>
          <w:rFonts w:eastAsia="Times New Roman"/>
          <w:szCs w:val="28"/>
          <w:lang w:eastAsia="ru-RU"/>
        </w:rPr>
        <w:t xml:space="preserve">ладнюється </w:t>
      </w:r>
      <w:r w:rsidRPr="00285B82">
        <w:rPr>
          <w:rFonts w:eastAsia="Times New Roman"/>
          <w:szCs w:val="28"/>
          <w:lang w:eastAsia="ru-RU"/>
        </w:rPr>
        <w:t xml:space="preserve">прихованим характером злочинів, оскільки незначна частина постраждалих звертається по сторонню допомогу, побоюючись можливого суспільного осуду, звинувачень у </w:t>
      </w:r>
      <w:proofErr w:type="spellStart"/>
      <w:r w:rsidRPr="00285B82">
        <w:rPr>
          <w:rFonts w:eastAsia="Times New Roman"/>
          <w:szCs w:val="28"/>
          <w:lang w:eastAsia="ru-RU"/>
        </w:rPr>
        <w:t>провокативній</w:t>
      </w:r>
      <w:proofErr w:type="spellEnd"/>
      <w:r w:rsidRPr="00285B82">
        <w:rPr>
          <w:rFonts w:eastAsia="Times New Roman"/>
          <w:szCs w:val="28"/>
          <w:lang w:eastAsia="ru-RU"/>
        </w:rPr>
        <w:t xml:space="preserve"> поведінці або відплати від кривдника. Низький рівень довіри населення до правоохоронних органів призводить до неповного обліку випадків насильства, а брак спеціалізованих послуг для жертв — до низького рівня звернень за підтримкою. </w:t>
      </w:r>
    </w:p>
    <w:p w:rsidR="003813DF" w:rsidRPr="00285B82" w:rsidRDefault="003813DF" w:rsidP="003813DF">
      <w:pPr>
        <w:spacing w:after="360"/>
        <w:ind w:firstLine="708"/>
        <w:jc w:val="both"/>
        <w:rPr>
          <w:rFonts w:eastAsia="Times New Roman"/>
          <w:szCs w:val="28"/>
          <w:lang w:eastAsia="ru-RU"/>
        </w:rPr>
      </w:pPr>
      <w:r w:rsidRPr="00285B82">
        <w:rPr>
          <w:rFonts w:eastAsia="Times New Roman"/>
          <w:szCs w:val="28"/>
          <w:lang w:eastAsia="ru-RU"/>
        </w:rPr>
        <w:t>Торгівля людьми – одна з актуальних проблем сучасної України й усього світу. Торгівля людьми посідає третє місце у світі за масштабами і прибутковістю після торгівлі наркотиками та зброєю. Навіть зараз, незважаючи на всебічне висвітлення цієї проблеми в засобах масової інформації, люди через матеріальну потребу їдуть у пошуках роботи за кордон.</w:t>
      </w:r>
      <w:r>
        <w:rPr>
          <w:rFonts w:eastAsia="Times New Roman"/>
          <w:szCs w:val="28"/>
          <w:lang w:eastAsia="ru-RU"/>
        </w:rPr>
        <w:t xml:space="preserve"> </w:t>
      </w:r>
      <w:r w:rsidRPr="00285B82">
        <w:rPr>
          <w:rFonts w:eastAsia="Times New Roman"/>
          <w:szCs w:val="28"/>
          <w:lang w:eastAsia="ru-RU"/>
        </w:rPr>
        <w:t xml:space="preserve">З огляду на загострення проблем сімей, запобігання проявам демографічної кризи, розв’язання </w:t>
      </w:r>
      <w:proofErr w:type="spellStart"/>
      <w:r w:rsidRPr="00285B82">
        <w:rPr>
          <w:rFonts w:eastAsia="Times New Roman"/>
          <w:szCs w:val="28"/>
          <w:lang w:eastAsia="ru-RU"/>
        </w:rPr>
        <w:t>ґендерних</w:t>
      </w:r>
      <w:proofErr w:type="spellEnd"/>
      <w:r w:rsidRPr="00285B82">
        <w:rPr>
          <w:rFonts w:eastAsia="Times New Roman"/>
          <w:szCs w:val="28"/>
          <w:lang w:eastAsia="ru-RU"/>
        </w:rPr>
        <w:t xml:space="preserve"> проблем, з’явилася потреба у ґрунтовному розробленні цілісної системи заходів з урахуванням сучасних реалій: ринкової економіки, соціального партнерства, всього того, що покликане зробити життя кожної окремої сім’ї повноцінним і ефективним.</w:t>
      </w:r>
    </w:p>
    <w:p w:rsidR="003813DF" w:rsidRPr="00285B82" w:rsidRDefault="003813DF" w:rsidP="003813DF">
      <w:pPr>
        <w:spacing w:after="360"/>
        <w:ind w:firstLine="708"/>
        <w:jc w:val="both"/>
        <w:rPr>
          <w:rFonts w:eastAsia="Times New Roman"/>
          <w:szCs w:val="28"/>
          <w:lang w:eastAsia="ru-RU"/>
        </w:rPr>
      </w:pPr>
      <w:proofErr w:type="spellStart"/>
      <w:r w:rsidRPr="00285B82">
        <w:rPr>
          <w:rFonts w:eastAsia="Times New Roman"/>
          <w:szCs w:val="28"/>
          <w:lang w:eastAsia="ru-RU"/>
        </w:rPr>
        <w:t>Ґендерна</w:t>
      </w:r>
      <w:proofErr w:type="spellEnd"/>
      <w:r w:rsidRPr="00285B82">
        <w:rPr>
          <w:rFonts w:eastAsia="Times New Roman"/>
          <w:szCs w:val="28"/>
          <w:lang w:eastAsia="ru-RU"/>
        </w:rPr>
        <w:t xml:space="preserve"> політика – це комплексна цілеспрямована діяльність держави, міжнародних та недержавних організацій щодо інтегрування </w:t>
      </w:r>
      <w:proofErr w:type="spellStart"/>
      <w:r w:rsidRPr="00285B82">
        <w:rPr>
          <w:rFonts w:eastAsia="Times New Roman"/>
          <w:szCs w:val="28"/>
          <w:lang w:eastAsia="ru-RU"/>
        </w:rPr>
        <w:t>ґендерного</w:t>
      </w:r>
      <w:proofErr w:type="spellEnd"/>
      <w:r w:rsidRPr="00285B82">
        <w:rPr>
          <w:rFonts w:eastAsia="Times New Roman"/>
          <w:szCs w:val="28"/>
          <w:lang w:eastAsia="ru-RU"/>
        </w:rPr>
        <w:t xml:space="preserve"> підходу для ліквідації всіх форм дискримінації за ознакою статі в суспільстві. Таким чином, вона є не окремим напрямом державної політики, а інтегруючим компонентом усіх складових політики держави, який враховує її вплив на представників різної статі.</w:t>
      </w:r>
      <w:r>
        <w:rPr>
          <w:rFonts w:eastAsia="Times New Roman"/>
          <w:szCs w:val="28"/>
          <w:lang w:eastAsia="ru-RU"/>
        </w:rPr>
        <w:t xml:space="preserve"> </w:t>
      </w:r>
      <w:r w:rsidRPr="00285B82">
        <w:rPr>
          <w:rFonts w:eastAsia="Times New Roman"/>
          <w:szCs w:val="28"/>
          <w:lang w:eastAsia="ru-RU"/>
        </w:rPr>
        <w:t>Конституція України гарантує забезпечення прав і свобод людини, рівність прав жінки і чоловіка наданням  рівних можливостей у праці та винагороді за неї, створенням державою умов для повного здійснення громадянами права на працю та гарантуванням рівних можливостей у виборі професії та роду трудової діяльності.</w:t>
      </w:r>
      <w:r>
        <w:rPr>
          <w:rFonts w:eastAsia="Times New Roman"/>
          <w:szCs w:val="28"/>
          <w:lang w:eastAsia="ru-RU"/>
        </w:rPr>
        <w:t xml:space="preserve"> </w:t>
      </w:r>
      <w:r w:rsidRPr="00285B82">
        <w:rPr>
          <w:rFonts w:eastAsia="Times New Roman"/>
          <w:szCs w:val="28"/>
          <w:lang w:eastAsia="ru-RU"/>
        </w:rPr>
        <w:t>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надають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r w:rsidRPr="00053D64">
        <w:rPr>
          <w:rFonts w:eastAsia="Times New Roman"/>
          <w:szCs w:val="28"/>
          <w:lang w:eastAsia="ru-RU"/>
        </w:rPr>
        <w:t xml:space="preserve"> </w:t>
      </w:r>
      <w:r w:rsidRPr="00285B82">
        <w:rPr>
          <w:rFonts w:eastAsia="Times New Roman"/>
          <w:szCs w:val="28"/>
          <w:lang w:eastAsia="ru-RU"/>
        </w:rPr>
        <w:t xml:space="preserve">Суспільні </w:t>
      </w:r>
      <w:proofErr w:type="spellStart"/>
      <w:r w:rsidRPr="00285B82">
        <w:rPr>
          <w:rFonts w:eastAsia="Times New Roman"/>
          <w:szCs w:val="28"/>
          <w:lang w:eastAsia="ru-RU"/>
        </w:rPr>
        <w:t>ґендерні</w:t>
      </w:r>
      <w:proofErr w:type="spellEnd"/>
      <w:r w:rsidRPr="00285B82">
        <w:rPr>
          <w:rFonts w:eastAsia="Times New Roman"/>
          <w:szCs w:val="28"/>
          <w:lang w:eastAsia="ru-RU"/>
        </w:rPr>
        <w:t xml:space="preserve"> стереотипи створюють перешкоди та обмеження для вільного вибору способу життя, у тому числі професійної та суспільної реалізації, сімейного життя як для жінок, так і для чоловіків. Залишається слабким механізм захисту та надання допомоги постраждалим від дискримінації за ознакою статі, особливо груп із підвищеним ризиком вразливості до множинної дискримінації. Процес упровадження принципу рівних прав та можливостей жінок і чоловіків в усі сфери життєдіяльності суспільства гальмує відсутність комплексної системи проведення гендерної правової експертизи, недостатній обсяг статистичних </w:t>
      </w:r>
      <w:r w:rsidRPr="00285B82">
        <w:rPr>
          <w:rFonts w:eastAsia="Times New Roman"/>
          <w:szCs w:val="28"/>
          <w:lang w:eastAsia="ru-RU"/>
        </w:rPr>
        <w:lastRenderedPageBreak/>
        <w:t>показників, відсутність гендерної складової у регіональних програмах, документах, стратегіях, планах на всіх рівнях.</w:t>
      </w:r>
      <w:r>
        <w:rPr>
          <w:rFonts w:eastAsia="Times New Roman"/>
          <w:szCs w:val="28"/>
          <w:lang w:eastAsia="ru-RU"/>
        </w:rPr>
        <w:t xml:space="preserve"> </w:t>
      </w:r>
      <w:r w:rsidRPr="00285B82">
        <w:rPr>
          <w:rFonts w:eastAsia="Times New Roman"/>
          <w:szCs w:val="28"/>
          <w:lang w:eastAsia="ru-RU"/>
        </w:rPr>
        <w:t xml:space="preserve">Для просування на шляху досягнення </w:t>
      </w:r>
      <w:proofErr w:type="spellStart"/>
      <w:r w:rsidRPr="00285B82">
        <w:rPr>
          <w:rFonts w:eastAsia="Times New Roman"/>
          <w:szCs w:val="28"/>
          <w:lang w:eastAsia="ru-RU"/>
        </w:rPr>
        <w:t>ґендерної</w:t>
      </w:r>
      <w:proofErr w:type="spellEnd"/>
      <w:r w:rsidRPr="00285B82">
        <w:rPr>
          <w:rFonts w:eastAsia="Times New Roman"/>
          <w:szCs w:val="28"/>
          <w:lang w:eastAsia="ru-RU"/>
        </w:rPr>
        <w:t xml:space="preserve"> рівності необхідним є застосування системного підходу, який передбачає зміну </w:t>
      </w:r>
      <w:proofErr w:type="spellStart"/>
      <w:r w:rsidRPr="00285B82">
        <w:rPr>
          <w:rFonts w:eastAsia="Times New Roman"/>
          <w:szCs w:val="28"/>
          <w:lang w:eastAsia="ru-RU"/>
        </w:rPr>
        <w:t>ґендерних</w:t>
      </w:r>
      <w:proofErr w:type="spellEnd"/>
      <w:r w:rsidRPr="00285B82">
        <w:rPr>
          <w:rFonts w:eastAsia="Times New Roman"/>
          <w:szCs w:val="28"/>
          <w:lang w:eastAsia="ru-RU"/>
        </w:rPr>
        <w:t xml:space="preserve"> відносин, розширення можливостей жінок, зменшення впливу негативних традиційних </w:t>
      </w:r>
      <w:proofErr w:type="spellStart"/>
      <w:r w:rsidRPr="00285B82">
        <w:rPr>
          <w:rFonts w:eastAsia="Times New Roman"/>
          <w:szCs w:val="28"/>
          <w:lang w:eastAsia="ru-RU"/>
        </w:rPr>
        <w:t>ґендерних</w:t>
      </w:r>
      <w:proofErr w:type="spellEnd"/>
      <w:r w:rsidRPr="00285B82">
        <w:rPr>
          <w:rFonts w:eastAsia="Times New Roman"/>
          <w:szCs w:val="28"/>
          <w:lang w:eastAsia="ru-RU"/>
        </w:rPr>
        <w:t xml:space="preserve"> стереотипів, контроль, координацію та оцінювання прогресу досягнення </w:t>
      </w:r>
      <w:proofErr w:type="spellStart"/>
      <w:r w:rsidRPr="00285B82">
        <w:rPr>
          <w:rFonts w:eastAsia="Times New Roman"/>
          <w:szCs w:val="28"/>
          <w:lang w:eastAsia="ru-RU"/>
        </w:rPr>
        <w:t>ґендерної</w:t>
      </w:r>
      <w:proofErr w:type="spellEnd"/>
      <w:r w:rsidRPr="00285B82">
        <w:rPr>
          <w:rFonts w:eastAsia="Times New Roman"/>
          <w:szCs w:val="28"/>
          <w:lang w:eastAsia="ru-RU"/>
        </w:rPr>
        <w:t xml:space="preserve"> рівності.</w:t>
      </w:r>
    </w:p>
    <w:p w:rsidR="003813DF" w:rsidRPr="00285B82" w:rsidRDefault="003813DF" w:rsidP="003813DF">
      <w:pPr>
        <w:ind w:firstLine="708"/>
        <w:jc w:val="both"/>
        <w:rPr>
          <w:rFonts w:eastAsia="Times New Roman"/>
          <w:szCs w:val="28"/>
          <w:lang w:eastAsia="ru-RU"/>
        </w:rPr>
      </w:pPr>
      <w:r w:rsidRPr="00285B82">
        <w:rPr>
          <w:rFonts w:eastAsia="Times New Roman"/>
          <w:szCs w:val="28"/>
          <w:lang w:eastAsia="ru-RU"/>
        </w:rPr>
        <w:t xml:space="preserve">Розроблення Програми зумовлене необхідністю реалізації сучасної державної сімейної та </w:t>
      </w:r>
      <w:proofErr w:type="spellStart"/>
      <w:r w:rsidRPr="00285B82">
        <w:rPr>
          <w:rFonts w:eastAsia="Times New Roman"/>
          <w:szCs w:val="28"/>
          <w:lang w:eastAsia="ru-RU"/>
        </w:rPr>
        <w:t>ґендерної</w:t>
      </w:r>
      <w:proofErr w:type="spellEnd"/>
      <w:r w:rsidRPr="00285B82">
        <w:rPr>
          <w:rFonts w:eastAsia="Times New Roman"/>
          <w:szCs w:val="28"/>
          <w:lang w:eastAsia="ru-RU"/>
        </w:rPr>
        <w:t xml:space="preserve"> політики, спрямованої на забезпечення сприятливих умов для всебічного розвитку сім’ї та кожного з її членів, найповнішу реалізацію нею своїх функцій, поліпшення життєвого рівня, підвищення ролі сім’ї як основи суспільства, формування </w:t>
      </w:r>
      <w:proofErr w:type="spellStart"/>
      <w:r w:rsidRPr="00285B82">
        <w:rPr>
          <w:rFonts w:eastAsia="Times New Roman"/>
          <w:szCs w:val="28"/>
          <w:lang w:eastAsia="ru-RU"/>
        </w:rPr>
        <w:t>ґендерної</w:t>
      </w:r>
      <w:proofErr w:type="spellEnd"/>
      <w:r w:rsidRPr="00285B82">
        <w:rPr>
          <w:rFonts w:eastAsia="Times New Roman"/>
          <w:szCs w:val="28"/>
          <w:lang w:eastAsia="ru-RU"/>
        </w:rPr>
        <w:t xml:space="preserve"> культури населення, запобігання та протидії домашньому насильству та насильству за ознакою статі, протидії торгівлі людьми.</w:t>
      </w:r>
    </w:p>
    <w:p w:rsidR="003813DF" w:rsidRDefault="003813DF" w:rsidP="003813DF">
      <w:pPr>
        <w:ind w:firstLine="708"/>
        <w:jc w:val="both"/>
        <w:rPr>
          <w:rFonts w:eastAsia="Times New Roman"/>
          <w:szCs w:val="28"/>
          <w:lang w:eastAsia="ru-RU"/>
        </w:rPr>
      </w:pPr>
      <w:r w:rsidRPr="00285B82">
        <w:rPr>
          <w:rFonts w:eastAsia="Times New Roman"/>
          <w:szCs w:val="28"/>
          <w:lang w:eastAsia="ru-RU"/>
        </w:rPr>
        <w:t>Реалізація Програми дозволить ефективніше забезпечити впровадження заходів, спрямованих на поліпшення становища сім’ї; рівної участі жінок і чоловіків у всіх сферах життєдіяльності; попередження домашнього насильства у всіх його проявах, протидію торгівлі людьми з використанням принципів системності, координації взаємодії виконавчих органів міської ради, громадських організацій та самих громадян, що потребують допомоги.</w:t>
      </w:r>
    </w:p>
    <w:p w:rsidR="003813DF" w:rsidRPr="00151E09" w:rsidRDefault="003813DF" w:rsidP="003813DF">
      <w:pPr>
        <w:ind w:firstLine="708"/>
        <w:jc w:val="both"/>
        <w:rPr>
          <w:rFonts w:eastAsia="Times New Roman"/>
          <w:szCs w:val="28"/>
          <w:lang w:eastAsia="ru-RU"/>
        </w:rPr>
      </w:pPr>
    </w:p>
    <w:p w:rsidR="003813DF" w:rsidRPr="00683336" w:rsidRDefault="003813DF" w:rsidP="003813DF">
      <w:pPr>
        <w:pStyle w:val="a3"/>
        <w:numPr>
          <w:ilvl w:val="0"/>
          <w:numId w:val="8"/>
        </w:numPr>
        <w:autoSpaceDE w:val="0"/>
        <w:autoSpaceDN w:val="0"/>
        <w:jc w:val="center"/>
        <w:rPr>
          <w:rFonts w:eastAsia="Times New Roman"/>
          <w:b/>
          <w:color w:val="2E2E2E"/>
          <w:szCs w:val="28"/>
          <w:lang w:eastAsia="ru-RU"/>
        </w:rPr>
      </w:pPr>
      <w:r w:rsidRPr="00683336">
        <w:rPr>
          <w:rFonts w:eastAsia="Times New Roman"/>
          <w:b/>
          <w:color w:val="2E2E2E"/>
          <w:szCs w:val="28"/>
          <w:lang w:eastAsia="ru-RU"/>
        </w:rPr>
        <w:t>МЕТА ПРОГРАМИ</w:t>
      </w:r>
    </w:p>
    <w:p w:rsidR="003813DF" w:rsidRPr="008E2189" w:rsidRDefault="003813DF" w:rsidP="003813DF">
      <w:pPr>
        <w:ind w:firstLine="708"/>
        <w:jc w:val="both"/>
        <w:rPr>
          <w:szCs w:val="28"/>
        </w:rPr>
      </w:pPr>
    </w:p>
    <w:p w:rsidR="003813DF" w:rsidRPr="00151E09" w:rsidRDefault="003813DF" w:rsidP="003813DF">
      <w:pPr>
        <w:spacing w:after="360"/>
        <w:ind w:firstLine="708"/>
        <w:jc w:val="both"/>
        <w:rPr>
          <w:rFonts w:eastAsia="Times New Roman"/>
          <w:szCs w:val="28"/>
          <w:lang w:eastAsia="ru-RU"/>
        </w:rPr>
      </w:pPr>
      <w:r w:rsidRPr="000B3603">
        <w:rPr>
          <w:rFonts w:eastAsia="Times New Roman"/>
          <w:szCs w:val="28"/>
          <w:lang w:eastAsia="ru-RU"/>
        </w:rPr>
        <w:t xml:space="preserve">Метою Програми є реалізація державної сімейної та </w:t>
      </w:r>
      <w:proofErr w:type="spellStart"/>
      <w:r w:rsidRPr="000B3603">
        <w:rPr>
          <w:rFonts w:eastAsia="Times New Roman"/>
          <w:szCs w:val="28"/>
          <w:lang w:eastAsia="ru-RU"/>
        </w:rPr>
        <w:t>ґендерної</w:t>
      </w:r>
      <w:proofErr w:type="spellEnd"/>
      <w:r w:rsidRPr="000B3603">
        <w:rPr>
          <w:rFonts w:eastAsia="Times New Roman"/>
          <w:szCs w:val="28"/>
          <w:lang w:eastAsia="ru-RU"/>
        </w:rPr>
        <w:t xml:space="preserve"> політики, спрямованої на утвердження в суспільстві соціальної справедливості та </w:t>
      </w:r>
      <w:proofErr w:type="spellStart"/>
      <w:r w:rsidRPr="000B3603">
        <w:rPr>
          <w:rFonts w:eastAsia="Times New Roman"/>
          <w:szCs w:val="28"/>
          <w:lang w:eastAsia="ru-RU"/>
        </w:rPr>
        <w:t>ґендерної</w:t>
      </w:r>
      <w:proofErr w:type="spellEnd"/>
      <w:r w:rsidRPr="000B3603">
        <w:rPr>
          <w:rFonts w:eastAsia="Times New Roman"/>
          <w:szCs w:val="28"/>
          <w:lang w:eastAsia="ru-RU"/>
        </w:rPr>
        <w:t xml:space="preserve"> рівності; підтримку сімей, забезпечення рівних прав та можливостей жінок і чоловіків, їх повновартісної участі у розбудові громадянського суспільства, подолання таких негативних явищ у суспільстві, як домашнє насильство та торгівля людьми.</w:t>
      </w:r>
    </w:p>
    <w:p w:rsidR="003813DF" w:rsidRDefault="003813DF" w:rsidP="003813DF">
      <w:pPr>
        <w:pStyle w:val="a3"/>
        <w:numPr>
          <w:ilvl w:val="0"/>
          <w:numId w:val="8"/>
        </w:numPr>
        <w:jc w:val="center"/>
        <w:rPr>
          <w:b/>
          <w:szCs w:val="28"/>
        </w:rPr>
      </w:pPr>
      <w:r>
        <w:rPr>
          <w:b/>
          <w:szCs w:val="28"/>
        </w:rPr>
        <w:t>ОБГРУНТУВАННЯ ШЛЯХІВ І ЗАСОБІВ РОЗВꞌЯЗАННЯ ПРОБЛЕМИ, ЗАВДАННЯ ТА ЗАХОДИ,</w:t>
      </w:r>
    </w:p>
    <w:p w:rsidR="003813DF" w:rsidRDefault="003813DF" w:rsidP="003813DF">
      <w:pPr>
        <w:pStyle w:val="a3"/>
        <w:jc w:val="center"/>
        <w:rPr>
          <w:b/>
          <w:szCs w:val="28"/>
        </w:rPr>
      </w:pPr>
      <w:r>
        <w:rPr>
          <w:b/>
          <w:szCs w:val="28"/>
        </w:rPr>
        <w:t>ПОКАЗНИКИ РЕЗУЛЬТАТИВНОСТІ</w:t>
      </w:r>
    </w:p>
    <w:p w:rsidR="003813DF" w:rsidRPr="00683336" w:rsidRDefault="003813DF" w:rsidP="003813DF">
      <w:pPr>
        <w:jc w:val="both"/>
        <w:rPr>
          <w:szCs w:val="28"/>
        </w:rPr>
      </w:pPr>
    </w:p>
    <w:p w:rsidR="003813DF" w:rsidRDefault="003813DF" w:rsidP="003813DF">
      <w:pPr>
        <w:jc w:val="both"/>
        <w:rPr>
          <w:szCs w:val="28"/>
        </w:rPr>
      </w:pPr>
      <w:r w:rsidRPr="008E2189">
        <w:rPr>
          <w:szCs w:val="28"/>
        </w:rPr>
        <w:tab/>
      </w:r>
      <w:r w:rsidRPr="003A4236">
        <w:rPr>
          <w:szCs w:val="28"/>
        </w:rPr>
        <w:t xml:space="preserve">Реалізація Програми дозволить запровадити ефективний механізм партнерства та взаємодії між органами виконавчої влади та громадськими організаціями, вдосконалення механізму запобігання та протидії домашньому насильству, підвищення рівня інформованості населення щодо форм і проявів домашнього насильства, його причин і наслідків та необхідні дії осіб; ефективне реагування на факти домашнього насильства через впровадження механізму взаємодії суб’єктів, які реалізують заходи щодо запобігання та протидії домашньому насильству; надання допомоги та захисту особам, постраждалим від домашнього насильства та насильства за ознакою статі, </w:t>
      </w:r>
      <w:r w:rsidRPr="003A4236">
        <w:rPr>
          <w:szCs w:val="28"/>
        </w:rPr>
        <w:lastRenderedPageBreak/>
        <w:t>притягнення кривдників до передбаченої законом відповідальності та корекція їхньої поведінки. Реалізація Програми також передбачає залучення представників громадськості до участі у реалізації прав і задоволенні потреб різних верств населення.</w:t>
      </w:r>
      <w:r>
        <w:rPr>
          <w:szCs w:val="28"/>
        </w:rPr>
        <w:tab/>
      </w:r>
    </w:p>
    <w:p w:rsidR="003813DF" w:rsidRDefault="003813DF" w:rsidP="003813DF">
      <w:pPr>
        <w:ind w:firstLine="708"/>
        <w:jc w:val="both"/>
        <w:rPr>
          <w:rFonts w:eastAsia="Times New Roman"/>
          <w:szCs w:val="28"/>
          <w:lang w:eastAsia="ru-RU"/>
        </w:rPr>
      </w:pPr>
      <w:r w:rsidRPr="0037707F">
        <w:rPr>
          <w:rFonts w:eastAsia="Times New Roman"/>
          <w:szCs w:val="28"/>
          <w:lang w:eastAsia="ru-RU"/>
        </w:rPr>
        <w:t>Програму спрямовано на проведення заходів та інформаційних кампаній, створення соціальних та економічних умов для належного функціонування, розвитку сім’ї як основи суспільства, утвердження рівних прав чоловіків та жінок, проведення профілактичної та інформаційно-роз’яснювальної роботи щодо попередження домашнього насильства та насильства за ознакою</w:t>
      </w:r>
      <w:r>
        <w:rPr>
          <w:rFonts w:eastAsia="Times New Roman"/>
          <w:szCs w:val="28"/>
          <w:lang w:eastAsia="ru-RU"/>
        </w:rPr>
        <w:t xml:space="preserve"> статі, протидії торгівлі людьми</w:t>
      </w:r>
      <w:r w:rsidRPr="0037707F">
        <w:rPr>
          <w:rFonts w:eastAsia="Times New Roman"/>
          <w:szCs w:val="28"/>
          <w:lang w:eastAsia="ru-RU"/>
        </w:rPr>
        <w:t xml:space="preserve">, впровадження дієвого механізму </w:t>
      </w:r>
      <w:proofErr w:type="spellStart"/>
      <w:r w:rsidRPr="0037707F">
        <w:rPr>
          <w:rFonts w:eastAsia="Times New Roman"/>
          <w:szCs w:val="28"/>
          <w:lang w:eastAsia="ru-RU"/>
        </w:rPr>
        <w:t>ресоціалізації</w:t>
      </w:r>
      <w:proofErr w:type="spellEnd"/>
      <w:r w:rsidRPr="0037707F">
        <w:rPr>
          <w:rFonts w:eastAsia="Times New Roman"/>
          <w:szCs w:val="28"/>
          <w:lang w:eastAsia="ru-RU"/>
        </w:rPr>
        <w:t xml:space="preserve"> жертв жорстокого поводження в сім’ї та поза нею, жертв торгівлі людьми.</w:t>
      </w:r>
    </w:p>
    <w:p w:rsidR="003813DF" w:rsidRPr="0037707F" w:rsidRDefault="003813DF" w:rsidP="003813DF">
      <w:pPr>
        <w:ind w:firstLine="708"/>
        <w:jc w:val="both"/>
        <w:rPr>
          <w:rFonts w:eastAsia="Times New Roman"/>
          <w:szCs w:val="28"/>
          <w:lang w:eastAsia="ru-RU"/>
        </w:rPr>
      </w:pPr>
      <w:r>
        <w:rPr>
          <w:szCs w:val="28"/>
        </w:rPr>
        <w:t xml:space="preserve">Заходи з реалізації Програми, викладені у додатку 1 до Програми, забезпечують досягнення її цілей. </w:t>
      </w:r>
    </w:p>
    <w:p w:rsidR="003813DF" w:rsidRDefault="003813DF" w:rsidP="003813DF">
      <w:pPr>
        <w:ind w:firstLine="708"/>
        <w:jc w:val="both"/>
        <w:rPr>
          <w:szCs w:val="28"/>
        </w:rPr>
      </w:pPr>
      <w:r>
        <w:rPr>
          <w:szCs w:val="28"/>
        </w:rPr>
        <w:t xml:space="preserve">Показники результативності надані у додатку 2 до Програми. </w:t>
      </w:r>
    </w:p>
    <w:p w:rsidR="003813DF" w:rsidRPr="008E2189" w:rsidRDefault="003813DF" w:rsidP="003813DF">
      <w:pPr>
        <w:ind w:firstLine="708"/>
        <w:jc w:val="both"/>
        <w:rPr>
          <w:szCs w:val="28"/>
        </w:rPr>
      </w:pPr>
    </w:p>
    <w:p w:rsidR="003813DF" w:rsidRDefault="003813DF" w:rsidP="003813DF">
      <w:pPr>
        <w:pStyle w:val="a3"/>
        <w:numPr>
          <w:ilvl w:val="0"/>
          <w:numId w:val="8"/>
        </w:numPr>
        <w:jc w:val="center"/>
        <w:rPr>
          <w:b/>
          <w:szCs w:val="28"/>
        </w:rPr>
      </w:pPr>
      <w:r w:rsidRPr="00683336">
        <w:rPr>
          <w:b/>
          <w:szCs w:val="28"/>
        </w:rPr>
        <w:t>СТР</w:t>
      </w:r>
      <w:r>
        <w:rPr>
          <w:b/>
          <w:szCs w:val="28"/>
        </w:rPr>
        <w:t>ОКИ ТА ЕТАПИ ВИКОНАННЯ ПРОГРАМИ</w:t>
      </w:r>
    </w:p>
    <w:p w:rsidR="003813DF" w:rsidRPr="00240F35" w:rsidRDefault="003813DF" w:rsidP="003813DF">
      <w:pPr>
        <w:pStyle w:val="a3"/>
        <w:rPr>
          <w:b/>
          <w:szCs w:val="28"/>
        </w:rPr>
      </w:pPr>
    </w:p>
    <w:p w:rsidR="003813DF" w:rsidRPr="003D72F5" w:rsidRDefault="003813DF" w:rsidP="003813DF">
      <w:pPr>
        <w:jc w:val="both"/>
        <w:rPr>
          <w:szCs w:val="28"/>
        </w:rPr>
      </w:pPr>
      <w:r>
        <w:rPr>
          <w:b/>
          <w:szCs w:val="28"/>
        </w:rPr>
        <w:tab/>
      </w:r>
      <w:r w:rsidRPr="003D72F5">
        <w:rPr>
          <w:szCs w:val="28"/>
        </w:rPr>
        <w:t xml:space="preserve">Строк </w:t>
      </w:r>
      <w:r>
        <w:rPr>
          <w:szCs w:val="28"/>
        </w:rPr>
        <w:t>реалізації Програми становить 6 років – 2022-2027</w:t>
      </w:r>
      <w:r w:rsidRPr="003D72F5">
        <w:rPr>
          <w:szCs w:val="28"/>
        </w:rPr>
        <w:t xml:space="preserve"> рр.</w:t>
      </w:r>
    </w:p>
    <w:p w:rsidR="003813DF" w:rsidRPr="00240F35" w:rsidRDefault="003813DF" w:rsidP="003813DF">
      <w:pPr>
        <w:jc w:val="both"/>
        <w:rPr>
          <w:szCs w:val="28"/>
        </w:rPr>
      </w:pPr>
      <w:r w:rsidRPr="003D72F5">
        <w:rPr>
          <w:szCs w:val="28"/>
        </w:rPr>
        <w:t>Етапи виконання Програми:</w:t>
      </w:r>
      <w:r>
        <w:rPr>
          <w:szCs w:val="28"/>
        </w:rPr>
        <w:t xml:space="preserve"> 2022 рік; </w:t>
      </w:r>
      <w:r w:rsidRPr="00BC14C5">
        <w:rPr>
          <w:szCs w:val="28"/>
        </w:rPr>
        <w:t>2023 рік</w:t>
      </w:r>
      <w:r>
        <w:rPr>
          <w:szCs w:val="28"/>
        </w:rPr>
        <w:t xml:space="preserve">; </w:t>
      </w:r>
      <w:r w:rsidRPr="00BC14C5">
        <w:rPr>
          <w:szCs w:val="28"/>
        </w:rPr>
        <w:t>2024 рік</w:t>
      </w:r>
      <w:r>
        <w:rPr>
          <w:szCs w:val="28"/>
        </w:rPr>
        <w:t xml:space="preserve">; </w:t>
      </w:r>
      <w:r w:rsidRPr="00BC14C5">
        <w:rPr>
          <w:szCs w:val="28"/>
        </w:rPr>
        <w:t>2025 рік</w:t>
      </w:r>
      <w:r>
        <w:rPr>
          <w:szCs w:val="28"/>
        </w:rPr>
        <w:t xml:space="preserve">; </w:t>
      </w:r>
      <w:r w:rsidRPr="00BC14C5">
        <w:rPr>
          <w:szCs w:val="28"/>
        </w:rPr>
        <w:t>2026 рік</w:t>
      </w:r>
      <w:r>
        <w:rPr>
          <w:szCs w:val="28"/>
        </w:rPr>
        <w:t xml:space="preserve">; </w:t>
      </w:r>
      <w:r w:rsidRPr="00BC14C5">
        <w:rPr>
          <w:szCs w:val="28"/>
        </w:rPr>
        <w:t>2027 рік</w:t>
      </w:r>
      <w:r>
        <w:rPr>
          <w:szCs w:val="28"/>
        </w:rPr>
        <w:t>.</w:t>
      </w:r>
    </w:p>
    <w:p w:rsidR="003813DF" w:rsidRPr="00683336" w:rsidRDefault="003813DF" w:rsidP="003813DF">
      <w:pPr>
        <w:pStyle w:val="a3"/>
        <w:numPr>
          <w:ilvl w:val="0"/>
          <w:numId w:val="8"/>
        </w:numPr>
        <w:jc w:val="center"/>
        <w:rPr>
          <w:b/>
          <w:szCs w:val="28"/>
        </w:rPr>
      </w:pPr>
      <w:r w:rsidRPr="00683336">
        <w:rPr>
          <w:b/>
          <w:szCs w:val="28"/>
        </w:rPr>
        <w:t>ОБСЯГИ ТА ДЖЕРЕЛА ФІНАНСУВАННЯ ПРОГРАМИ.</w:t>
      </w:r>
    </w:p>
    <w:p w:rsidR="003813DF" w:rsidRPr="008E2189" w:rsidRDefault="003813DF" w:rsidP="003813DF">
      <w:pPr>
        <w:rPr>
          <w:i/>
          <w:smallCaps/>
          <w:szCs w:val="28"/>
        </w:rPr>
      </w:pPr>
    </w:p>
    <w:p w:rsidR="003813DF" w:rsidRPr="00495644" w:rsidRDefault="003813DF" w:rsidP="003813DF">
      <w:pPr>
        <w:jc w:val="both"/>
        <w:rPr>
          <w:szCs w:val="28"/>
        </w:rPr>
      </w:pPr>
      <w:r w:rsidRPr="008E2189">
        <w:rPr>
          <w:szCs w:val="28"/>
        </w:rPr>
        <w:tab/>
        <w:t xml:space="preserve">Фінансування Програми забезпечується за рахунок </w:t>
      </w:r>
      <w:r>
        <w:rPr>
          <w:szCs w:val="28"/>
        </w:rPr>
        <w:t xml:space="preserve">коштів </w:t>
      </w:r>
      <w:r w:rsidRPr="008E2189">
        <w:rPr>
          <w:szCs w:val="28"/>
        </w:rPr>
        <w:t>міського бюджету</w:t>
      </w:r>
      <w:r>
        <w:rPr>
          <w:szCs w:val="28"/>
          <w:lang w:val="ru-RU"/>
        </w:rPr>
        <w:t xml:space="preserve">, та </w:t>
      </w:r>
      <w:proofErr w:type="spellStart"/>
      <w:r>
        <w:rPr>
          <w:szCs w:val="28"/>
          <w:lang w:val="ru-RU"/>
        </w:rPr>
        <w:t>інших</w:t>
      </w:r>
      <w:proofErr w:type="spellEnd"/>
      <w:r>
        <w:rPr>
          <w:szCs w:val="28"/>
          <w:lang w:val="ru-RU"/>
        </w:rPr>
        <w:t xml:space="preserve"> </w:t>
      </w:r>
      <w:proofErr w:type="spellStart"/>
      <w:r>
        <w:rPr>
          <w:szCs w:val="28"/>
          <w:lang w:val="ru-RU"/>
        </w:rPr>
        <w:t>джерел</w:t>
      </w:r>
      <w:proofErr w:type="spellEnd"/>
      <w:r>
        <w:rPr>
          <w:szCs w:val="28"/>
          <w:lang w:val="ru-RU"/>
        </w:rPr>
        <w:t xml:space="preserve"> не </w:t>
      </w:r>
      <w:proofErr w:type="spellStart"/>
      <w:r>
        <w:rPr>
          <w:szCs w:val="28"/>
          <w:lang w:val="ru-RU"/>
        </w:rPr>
        <w:t>заборонених</w:t>
      </w:r>
      <w:proofErr w:type="spellEnd"/>
      <w:r>
        <w:rPr>
          <w:szCs w:val="28"/>
          <w:lang w:val="ru-RU"/>
        </w:rPr>
        <w:t xml:space="preserve"> </w:t>
      </w:r>
      <w:proofErr w:type="spellStart"/>
      <w:r>
        <w:rPr>
          <w:szCs w:val="28"/>
          <w:lang w:val="ru-RU"/>
        </w:rPr>
        <w:t>законодавством</w:t>
      </w:r>
      <w:proofErr w:type="spellEnd"/>
      <w:r>
        <w:rPr>
          <w:szCs w:val="28"/>
          <w:lang w:val="ru-RU"/>
        </w:rPr>
        <w:t>.</w:t>
      </w:r>
    </w:p>
    <w:p w:rsidR="003813DF" w:rsidRDefault="003813DF" w:rsidP="003813DF">
      <w:pPr>
        <w:jc w:val="both"/>
        <w:rPr>
          <w:szCs w:val="28"/>
        </w:rPr>
      </w:pPr>
      <w:r w:rsidRPr="008E2189">
        <w:rPr>
          <w:szCs w:val="28"/>
        </w:rPr>
        <w:t xml:space="preserve"> </w:t>
      </w:r>
      <w:r w:rsidRPr="008E2189">
        <w:rPr>
          <w:szCs w:val="28"/>
        </w:rPr>
        <w:tab/>
      </w:r>
      <w:r>
        <w:rPr>
          <w:szCs w:val="28"/>
        </w:rPr>
        <w:t>Бюджетні призначення для реалізації Програми передбачаються та затверджуються Білгород-Дністровською міською радою при формування міського бюджету на відповідний календарний рік.</w:t>
      </w:r>
    </w:p>
    <w:p w:rsidR="003813DF" w:rsidRDefault="003813DF" w:rsidP="003813DF">
      <w:pPr>
        <w:jc w:val="both"/>
        <w:rPr>
          <w:szCs w:val="28"/>
        </w:rPr>
      </w:pPr>
      <w:r>
        <w:rPr>
          <w:szCs w:val="28"/>
        </w:rPr>
        <w:tab/>
        <w:t>Орієнтовний обсяг фінансування, необхідний для реалізації заходів Програми викладений у додатку 3 до Програми.</w:t>
      </w:r>
    </w:p>
    <w:p w:rsidR="003813DF" w:rsidRDefault="003813DF" w:rsidP="003813DF">
      <w:pPr>
        <w:ind w:firstLine="708"/>
        <w:jc w:val="both"/>
        <w:rPr>
          <w:szCs w:val="28"/>
        </w:rPr>
      </w:pPr>
      <w:r>
        <w:rPr>
          <w:szCs w:val="28"/>
        </w:rPr>
        <w:t>Обсяг фінансування на відповідний рік уточнюється під час складання проекту міського бюджету в межах наявного фінансового ресурсу.</w:t>
      </w:r>
    </w:p>
    <w:p w:rsidR="003813DF" w:rsidRPr="0037707F" w:rsidRDefault="003813DF" w:rsidP="003813DF">
      <w:pPr>
        <w:ind w:firstLine="708"/>
        <w:jc w:val="both"/>
        <w:rPr>
          <w:szCs w:val="28"/>
        </w:rPr>
      </w:pPr>
      <w:r>
        <w:rPr>
          <w:szCs w:val="28"/>
        </w:rPr>
        <w:t>Ресурсне забезпечення Програми викладене у додатку 3.</w:t>
      </w:r>
    </w:p>
    <w:p w:rsidR="003813DF" w:rsidRDefault="003813DF" w:rsidP="003813DF">
      <w:pPr>
        <w:jc w:val="center"/>
        <w:rPr>
          <w:b/>
          <w:szCs w:val="28"/>
        </w:rPr>
      </w:pPr>
    </w:p>
    <w:p w:rsidR="003813DF" w:rsidRPr="00683336" w:rsidRDefault="003813DF" w:rsidP="003813DF">
      <w:pPr>
        <w:pStyle w:val="a3"/>
        <w:numPr>
          <w:ilvl w:val="0"/>
          <w:numId w:val="8"/>
        </w:numPr>
        <w:jc w:val="center"/>
        <w:rPr>
          <w:b/>
          <w:szCs w:val="28"/>
        </w:rPr>
      </w:pPr>
      <w:r>
        <w:rPr>
          <w:b/>
          <w:szCs w:val="28"/>
        </w:rPr>
        <w:t>ОЧІКУВАНІ</w:t>
      </w:r>
      <w:r w:rsidRPr="00683336">
        <w:rPr>
          <w:b/>
          <w:szCs w:val="28"/>
        </w:rPr>
        <w:t xml:space="preserve"> РЕЗУЛЬТАТИ </w:t>
      </w:r>
      <w:r>
        <w:rPr>
          <w:b/>
          <w:szCs w:val="28"/>
        </w:rPr>
        <w:t xml:space="preserve">ВИКОНАННЯ </w:t>
      </w:r>
      <w:r w:rsidRPr="00683336">
        <w:rPr>
          <w:b/>
          <w:szCs w:val="28"/>
        </w:rPr>
        <w:t>ПРОГРАМИ,</w:t>
      </w:r>
    </w:p>
    <w:p w:rsidR="003813DF" w:rsidRPr="008E2189" w:rsidRDefault="003813DF" w:rsidP="003813DF">
      <w:pPr>
        <w:jc w:val="center"/>
        <w:rPr>
          <w:b/>
          <w:szCs w:val="28"/>
        </w:rPr>
      </w:pPr>
      <w:r>
        <w:rPr>
          <w:b/>
          <w:szCs w:val="28"/>
        </w:rPr>
        <w:t xml:space="preserve">            ВИЗНАЧЕННЯ ЇЇ ЕФЕКТИВНОСТІ</w:t>
      </w:r>
    </w:p>
    <w:p w:rsidR="003813DF" w:rsidRPr="008E2189" w:rsidRDefault="003813DF" w:rsidP="003813DF">
      <w:pPr>
        <w:jc w:val="center"/>
        <w:rPr>
          <w:b/>
          <w:szCs w:val="28"/>
        </w:rPr>
      </w:pPr>
    </w:p>
    <w:p w:rsidR="003813DF" w:rsidRDefault="003813DF" w:rsidP="003813DF">
      <w:pPr>
        <w:rPr>
          <w:rFonts w:eastAsia="Times New Roman"/>
          <w:szCs w:val="28"/>
          <w:lang w:eastAsia="ru-RU"/>
        </w:rPr>
      </w:pPr>
      <w:r w:rsidRPr="0078149B">
        <w:rPr>
          <w:rFonts w:eastAsia="Times New Roman"/>
          <w:szCs w:val="28"/>
          <w:lang w:eastAsia="ru-RU"/>
        </w:rPr>
        <w:t>Виконанн</w:t>
      </w:r>
      <w:r>
        <w:rPr>
          <w:rFonts w:eastAsia="Times New Roman"/>
          <w:szCs w:val="28"/>
          <w:lang w:eastAsia="ru-RU"/>
        </w:rPr>
        <w:t>я заходів Програми забезпечить:</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створення ефективного механізму партнерства та взаємодії між органами виконавчої влади та громадськими організаціями, вдосконалення механізму запобігання та протидії домашньому насильству, підвищенню рівня інформованості населення щодо форм і проявів домашнього насильства, його причин і наслідків та необхідних дій осіб;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ефективного реагування на факти домашнього насильства через впровадження механізму взаємодії суб’єктів, які реалізують заходи щодо </w:t>
      </w:r>
      <w:r w:rsidRPr="0041562F">
        <w:rPr>
          <w:szCs w:val="28"/>
        </w:rPr>
        <w:lastRenderedPageBreak/>
        <w:t>запобігання та протидії домашньому насильству</w:t>
      </w:r>
      <w:r>
        <w:rPr>
          <w:szCs w:val="28"/>
        </w:rPr>
        <w:t xml:space="preserve">, надання допомоги та захисту </w:t>
      </w:r>
      <w:r w:rsidRPr="0041562F">
        <w:rPr>
          <w:szCs w:val="28"/>
        </w:rPr>
        <w:t xml:space="preserve">особам, постраждалим від домашнього насильства та насильства за ознакою статі, притягнення кривдників до передбаченої законом відповідальності та корекція їхньої поведінки;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забезпечення </w:t>
      </w:r>
      <w:proofErr w:type="spellStart"/>
      <w:r w:rsidRPr="0041562F">
        <w:rPr>
          <w:szCs w:val="28"/>
        </w:rPr>
        <w:t>ґендерної</w:t>
      </w:r>
      <w:proofErr w:type="spellEnd"/>
      <w:r w:rsidRPr="0041562F">
        <w:rPr>
          <w:szCs w:val="28"/>
        </w:rPr>
        <w:t xml:space="preserve"> рівності;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зменшення кількості сімей, в яких існує ризик вчинення домашнього насильства; підвищення рівня обізнаності населення у сфері запобігання та протидії домашньому насильству, руйнації негативних стереотипів та формування нетерпимого ставлення до насильницької моделі сімейних відносин;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підвищення рівня професійної компетенції працівників державних органів щодо запобігання та протидії домашньому насильству;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створення дієвих механізмів допомоги та захисту осіб, які постраждали від домашнього насильства;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підвищення ефективності взаємодії усіх суб’єктів, які здійснюють заходи щодо запобігання та протидії домашньому насильству;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посилення міжвідомчої взаємодії з питань рівних прав та можливостей жінок і чоловіків;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запровадження гендерних підходів у діяльності державних службовців;</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підвищення рівня обізнаності з питань забезпечення рівних прав та можливостей жінок і чоловіків;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зменшення гендерного дисбалансу серед депутатів, керівників органів виконавчої влади та місцевого самоврядування, керівників підприємств, установ та організацій;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 xml:space="preserve">створення умов та можливостей для паритетної участі жінок і чоловіків у прийнятті політичних, економічних та соціальних рішень; </w:t>
      </w:r>
    </w:p>
    <w:p w:rsidR="003813DF" w:rsidRPr="0041562F" w:rsidRDefault="003813DF" w:rsidP="003813DF">
      <w:pPr>
        <w:pStyle w:val="a4"/>
        <w:numPr>
          <w:ilvl w:val="0"/>
          <w:numId w:val="7"/>
        </w:numPr>
        <w:tabs>
          <w:tab w:val="clear" w:pos="4677"/>
          <w:tab w:val="clear" w:pos="9355"/>
        </w:tabs>
        <w:ind w:left="0" w:firstLine="0"/>
        <w:jc w:val="both"/>
        <w:rPr>
          <w:color w:val="2E2E2E"/>
          <w:szCs w:val="28"/>
        </w:rPr>
      </w:pPr>
      <w:r w:rsidRPr="0041562F">
        <w:rPr>
          <w:szCs w:val="28"/>
        </w:rPr>
        <w:t>ро</w:t>
      </w:r>
      <w:r>
        <w:rPr>
          <w:szCs w:val="28"/>
        </w:rPr>
        <w:t>зроблення тематичної</w:t>
      </w:r>
      <w:r w:rsidRPr="0041562F">
        <w:rPr>
          <w:szCs w:val="28"/>
        </w:rPr>
        <w:t xml:space="preserve"> соціальної реклами для розміщен</w:t>
      </w:r>
      <w:r>
        <w:rPr>
          <w:szCs w:val="28"/>
        </w:rPr>
        <w:t>ня у засобах масової інформації</w:t>
      </w:r>
      <w:r w:rsidRPr="0041562F">
        <w:rPr>
          <w:szCs w:val="28"/>
        </w:rPr>
        <w:t xml:space="preserve">. </w:t>
      </w:r>
    </w:p>
    <w:p w:rsidR="003813DF" w:rsidRPr="008E2189" w:rsidRDefault="003813DF" w:rsidP="003813DF">
      <w:pPr>
        <w:pStyle w:val="a4"/>
        <w:tabs>
          <w:tab w:val="clear" w:pos="4677"/>
          <w:tab w:val="clear" w:pos="9355"/>
        </w:tabs>
        <w:ind w:left="720"/>
        <w:jc w:val="both"/>
        <w:rPr>
          <w:color w:val="2E2E2E"/>
          <w:szCs w:val="28"/>
        </w:rPr>
      </w:pPr>
    </w:p>
    <w:p w:rsidR="003813DF" w:rsidRDefault="003813DF" w:rsidP="003813DF">
      <w:pPr>
        <w:pStyle w:val="a4"/>
        <w:numPr>
          <w:ilvl w:val="0"/>
          <w:numId w:val="9"/>
        </w:numPr>
        <w:tabs>
          <w:tab w:val="clear" w:pos="4677"/>
          <w:tab w:val="clear" w:pos="9355"/>
        </w:tabs>
        <w:jc w:val="center"/>
        <w:rPr>
          <w:b/>
          <w:color w:val="2E2E2E"/>
          <w:szCs w:val="28"/>
        </w:rPr>
      </w:pPr>
      <w:r>
        <w:rPr>
          <w:b/>
          <w:color w:val="2E2E2E"/>
          <w:szCs w:val="28"/>
        </w:rPr>
        <w:t>КООРДИНАЦІЯ ТА КОНТРОЛЬ ЗА ХОДОМ</w:t>
      </w:r>
    </w:p>
    <w:p w:rsidR="003813DF" w:rsidRDefault="003813DF" w:rsidP="003813DF">
      <w:pPr>
        <w:pStyle w:val="a4"/>
        <w:tabs>
          <w:tab w:val="clear" w:pos="4677"/>
          <w:tab w:val="clear" w:pos="9355"/>
        </w:tabs>
        <w:ind w:left="720"/>
        <w:jc w:val="center"/>
        <w:rPr>
          <w:b/>
          <w:color w:val="2E2E2E"/>
          <w:szCs w:val="28"/>
        </w:rPr>
      </w:pPr>
      <w:r>
        <w:rPr>
          <w:b/>
          <w:color w:val="2E2E2E"/>
          <w:szCs w:val="28"/>
        </w:rPr>
        <w:t>ВИКОНАННЯ ПРОГРАМИ</w:t>
      </w:r>
    </w:p>
    <w:p w:rsidR="003813DF" w:rsidRDefault="003813DF" w:rsidP="003813DF">
      <w:pPr>
        <w:pStyle w:val="a4"/>
        <w:tabs>
          <w:tab w:val="clear" w:pos="4677"/>
          <w:tab w:val="clear" w:pos="9355"/>
        </w:tabs>
        <w:jc w:val="center"/>
        <w:rPr>
          <w:b/>
          <w:color w:val="2E2E2E"/>
          <w:szCs w:val="28"/>
        </w:rPr>
      </w:pPr>
    </w:p>
    <w:p w:rsidR="003813DF" w:rsidRDefault="003813DF" w:rsidP="003813DF">
      <w:pPr>
        <w:jc w:val="both"/>
        <w:rPr>
          <w:szCs w:val="28"/>
        </w:rPr>
      </w:pPr>
      <w:r>
        <w:rPr>
          <w:szCs w:val="28"/>
        </w:rPr>
        <w:tab/>
        <w:t>Виконання Програми здійснюється шляхом її реалізації виконавцем, визначеним у Програмі.</w:t>
      </w:r>
    </w:p>
    <w:p w:rsidR="003813DF" w:rsidRDefault="003813DF" w:rsidP="003813DF">
      <w:pPr>
        <w:ind w:firstLine="708"/>
        <w:jc w:val="both"/>
        <w:rPr>
          <w:szCs w:val="28"/>
        </w:rPr>
      </w:pPr>
      <w:r>
        <w:rPr>
          <w:szCs w:val="28"/>
        </w:rPr>
        <w:t>Координація роботи із забезпеченням виконання Програми покладається на Департамент соціальної, сімейної політики та охорони здоров’я Білгород-Дністровської міської ради.</w:t>
      </w:r>
    </w:p>
    <w:p w:rsidR="003813DF" w:rsidRDefault="003813DF" w:rsidP="003813DF">
      <w:pPr>
        <w:ind w:firstLine="708"/>
        <w:jc w:val="both"/>
        <w:rPr>
          <w:szCs w:val="28"/>
        </w:rPr>
      </w:pPr>
      <w:r>
        <w:rPr>
          <w:szCs w:val="28"/>
        </w:rPr>
        <w:t>В строки, визначені рішенням Білгород-Дністровської міської ради, інформація про хід виконання Програми та ефективність реалізації її заходів заслуховується на сесіях Білгород-Дністровської міської ради.</w:t>
      </w:r>
    </w:p>
    <w:p w:rsidR="003813DF" w:rsidRDefault="003813DF" w:rsidP="003813DF">
      <w:pPr>
        <w:ind w:firstLine="708"/>
        <w:jc w:val="both"/>
        <w:rPr>
          <w:szCs w:val="28"/>
        </w:rPr>
      </w:pPr>
      <w:r>
        <w:rPr>
          <w:szCs w:val="28"/>
        </w:rPr>
        <w:t>Виконання Програми припиняється після закінчення встановленого строку, після чого Департамент, як відповідальний виконавець Програми у місячний термін складає заключний звіт про результати її виконання та подає його Департаменту економіки та розвитку інфраструктури міста Білгорода-</w:t>
      </w:r>
      <w:r>
        <w:rPr>
          <w:szCs w:val="28"/>
        </w:rPr>
        <w:lastRenderedPageBreak/>
        <w:t>Дністровської міської ради та Фінансовому управлінню Білгород-Дністровської міської ради.</w:t>
      </w:r>
    </w:p>
    <w:p w:rsidR="003813DF" w:rsidRDefault="003813DF" w:rsidP="003813DF">
      <w:pPr>
        <w:ind w:firstLine="708"/>
        <w:jc w:val="both"/>
        <w:rPr>
          <w:szCs w:val="28"/>
        </w:rPr>
      </w:pPr>
      <w:r>
        <w:rPr>
          <w:szCs w:val="28"/>
        </w:rPr>
        <w:t>Щорічний та підсумковий звіти про результати виконання Програми із пояснювальною запискою мають бути внесені на розгляд виконавчого комітету Білгород-Дністровської міської ради та сесії Білгород-Дністровської міської ради.</w:t>
      </w:r>
    </w:p>
    <w:p w:rsidR="003813DF" w:rsidRDefault="003813DF" w:rsidP="003813DF">
      <w:pPr>
        <w:ind w:firstLine="708"/>
        <w:jc w:val="both"/>
        <w:rPr>
          <w:szCs w:val="28"/>
        </w:rPr>
      </w:pPr>
      <w:r>
        <w:rPr>
          <w:szCs w:val="28"/>
        </w:rPr>
        <w:t>Щорічний та підсумковий звіти виконання Програми Департамент, як відповідальний виконавець розміщує на офіційному сайті Білгород-Дністровської міської ради.</w:t>
      </w:r>
    </w:p>
    <w:p w:rsidR="003813DF" w:rsidRDefault="003813DF" w:rsidP="003813DF">
      <w:pPr>
        <w:ind w:firstLine="708"/>
        <w:jc w:val="both"/>
        <w:rPr>
          <w:szCs w:val="28"/>
        </w:rPr>
      </w:pPr>
      <w:r>
        <w:rPr>
          <w:szCs w:val="28"/>
        </w:rPr>
        <w:t>Контроль за виконанням Програми здійснює Білгород-Дністровська міська ради.</w:t>
      </w:r>
    </w:p>
    <w:p w:rsidR="003813DF" w:rsidRDefault="003813DF" w:rsidP="003813DF">
      <w:pPr>
        <w:jc w:val="both"/>
        <w:rPr>
          <w:szCs w:val="28"/>
        </w:rPr>
      </w:pPr>
    </w:p>
    <w:p w:rsidR="003813DF" w:rsidRPr="008E2189" w:rsidRDefault="003813DF" w:rsidP="003813DF">
      <w:pPr>
        <w:jc w:val="both"/>
        <w:rPr>
          <w:szCs w:val="28"/>
        </w:rPr>
      </w:pPr>
      <w:r>
        <w:rPr>
          <w:szCs w:val="28"/>
        </w:rPr>
        <w:t xml:space="preserve">Керуючий справами </w:t>
      </w:r>
      <w:r>
        <w:rPr>
          <w:szCs w:val="28"/>
        </w:rPr>
        <w:tab/>
      </w:r>
      <w:r>
        <w:rPr>
          <w:szCs w:val="28"/>
        </w:rPr>
        <w:tab/>
      </w:r>
      <w:r>
        <w:rPr>
          <w:szCs w:val="28"/>
        </w:rPr>
        <w:tab/>
      </w:r>
      <w:r>
        <w:rPr>
          <w:szCs w:val="28"/>
        </w:rPr>
        <w:tab/>
        <w:t xml:space="preserve">                   Ігор ВЕЛИЧКО</w:t>
      </w:r>
    </w:p>
    <w:p w:rsidR="003813DF" w:rsidRPr="008E2189" w:rsidRDefault="003813DF" w:rsidP="003813DF">
      <w:pPr>
        <w:ind w:firstLine="708"/>
        <w:jc w:val="both"/>
        <w:rPr>
          <w:szCs w:val="28"/>
        </w:rPr>
      </w:pPr>
      <w:r w:rsidRPr="008E2189">
        <w:rPr>
          <w:szCs w:val="28"/>
        </w:rPr>
        <w:t xml:space="preserve">          </w:t>
      </w:r>
    </w:p>
    <w:p w:rsidR="003813DF" w:rsidRPr="008E2189" w:rsidRDefault="003813DF" w:rsidP="003813DF">
      <w:pPr>
        <w:ind w:firstLine="708"/>
        <w:jc w:val="both"/>
        <w:rPr>
          <w:szCs w:val="28"/>
        </w:rPr>
      </w:pPr>
    </w:p>
    <w:p w:rsidR="003813DF" w:rsidRDefault="003813DF" w:rsidP="00480DF6">
      <w:pPr>
        <w:spacing w:after="120"/>
        <w:jc w:val="center"/>
        <w:outlineLvl w:val="0"/>
        <w:rPr>
          <w:szCs w:val="28"/>
        </w:rPr>
      </w:pPr>
    </w:p>
    <w:p w:rsidR="00D439C1" w:rsidRDefault="00D439C1" w:rsidP="00D439C1">
      <w:pPr>
        <w:spacing w:after="120"/>
        <w:outlineLvl w:val="0"/>
        <w:rPr>
          <w:szCs w:val="28"/>
        </w:rPr>
      </w:pPr>
    </w:p>
    <w:sectPr w:rsidR="00D439C1" w:rsidSect="00FB670B">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numFmt w:val="bullet"/>
      <w:lvlText w:val="-"/>
      <w:lvlJc w:val="left"/>
      <w:pPr>
        <w:tabs>
          <w:tab w:val="num" w:pos="0"/>
        </w:tabs>
        <w:ind w:left="785" w:firstLine="425"/>
      </w:pPr>
      <w:rPr>
        <w:rFonts w:ascii="Arial" w:hAnsi="Arial"/>
        <w:b w:val="0"/>
        <w:position w:val="0"/>
        <w:sz w:val="28"/>
        <w:vertAlign w:val="baseline"/>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1">
    <w:nsid w:val="14716E89"/>
    <w:multiLevelType w:val="hybridMultilevel"/>
    <w:tmpl w:val="F604BF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95C215B"/>
    <w:multiLevelType w:val="hybridMultilevel"/>
    <w:tmpl w:val="92D8FED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021452E"/>
    <w:multiLevelType w:val="hybridMultilevel"/>
    <w:tmpl w:val="7DFC98BA"/>
    <w:lvl w:ilvl="0" w:tplc="98E038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8009BD"/>
    <w:multiLevelType w:val="hybridMultilevel"/>
    <w:tmpl w:val="8C24E280"/>
    <w:lvl w:ilvl="0" w:tplc="98E038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7E32EFF"/>
    <w:multiLevelType w:val="hybridMultilevel"/>
    <w:tmpl w:val="3752B5E0"/>
    <w:lvl w:ilvl="0" w:tplc="FD38FDF4">
      <w:numFmt w:val="bullet"/>
      <w:lvlText w:val="-"/>
      <w:lvlJc w:val="left"/>
      <w:pPr>
        <w:ind w:left="104" w:hanging="720"/>
      </w:pPr>
      <w:rPr>
        <w:rFonts w:ascii="Times New Roman" w:eastAsia="Times New Roman" w:hAnsi="Times New Roman" w:cs="Times New Roman" w:hint="default"/>
        <w:w w:val="100"/>
        <w:sz w:val="28"/>
        <w:szCs w:val="28"/>
        <w:lang w:val="uk-UA" w:eastAsia="en-US" w:bidi="ar-SA"/>
      </w:rPr>
    </w:lvl>
    <w:lvl w:ilvl="1" w:tplc="1428AA44">
      <w:numFmt w:val="bullet"/>
      <w:lvlText w:val="•"/>
      <w:lvlJc w:val="left"/>
      <w:pPr>
        <w:ind w:left="1108" w:hanging="720"/>
      </w:pPr>
      <w:rPr>
        <w:rFonts w:hint="default"/>
        <w:lang w:val="uk-UA" w:eastAsia="en-US" w:bidi="ar-SA"/>
      </w:rPr>
    </w:lvl>
    <w:lvl w:ilvl="2" w:tplc="648CD340">
      <w:numFmt w:val="bullet"/>
      <w:lvlText w:val="•"/>
      <w:lvlJc w:val="left"/>
      <w:pPr>
        <w:ind w:left="2116" w:hanging="720"/>
      </w:pPr>
      <w:rPr>
        <w:rFonts w:hint="default"/>
        <w:lang w:val="uk-UA" w:eastAsia="en-US" w:bidi="ar-SA"/>
      </w:rPr>
    </w:lvl>
    <w:lvl w:ilvl="3" w:tplc="FDB46AE0">
      <w:numFmt w:val="bullet"/>
      <w:lvlText w:val="•"/>
      <w:lvlJc w:val="left"/>
      <w:pPr>
        <w:ind w:left="3124" w:hanging="720"/>
      </w:pPr>
      <w:rPr>
        <w:rFonts w:hint="default"/>
        <w:lang w:val="uk-UA" w:eastAsia="en-US" w:bidi="ar-SA"/>
      </w:rPr>
    </w:lvl>
    <w:lvl w:ilvl="4" w:tplc="B5B68E5C">
      <w:numFmt w:val="bullet"/>
      <w:lvlText w:val="•"/>
      <w:lvlJc w:val="left"/>
      <w:pPr>
        <w:ind w:left="4132" w:hanging="720"/>
      </w:pPr>
      <w:rPr>
        <w:rFonts w:hint="default"/>
        <w:lang w:val="uk-UA" w:eastAsia="en-US" w:bidi="ar-SA"/>
      </w:rPr>
    </w:lvl>
    <w:lvl w:ilvl="5" w:tplc="D69A81C0">
      <w:numFmt w:val="bullet"/>
      <w:lvlText w:val="•"/>
      <w:lvlJc w:val="left"/>
      <w:pPr>
        <w:ind w:left="5140" w:hanging="720"/>
      </w:pPr>
      <w:rPr>
        <w:rFonts w:hint="default"/>
        <w:lang w:val="uk-UA" w:eastAsia="en-US" w:bidi="ar-SA"/>
      </w:rPr>
    </w:lvl>
    <w:lvl w:ilvl="6" w:tplc="2C04F6A8">
      <w:numFmt w:val="bullet"/>
      <w:lvlText w:val="•"/>
      <w:lvlJc w:val="left"/>
      <w:pPr>
        <w:ind w:left="6148" w:hanging="720"/>
      </w:pPr>
      <w:rPr>
        <w:rFonts w:hint="default"/>
        <w:lang w:val="uk-UA" w:eastAsia="en-US" w:bidi="ar-SA"/>
      </w:rPr>
    </w:lvl>
    <w:lvl w:ilvl="7" w:tplc="54A83BC0">
      <w:numFmt w:val="bullet"/>
      <w:lvlText w:val="•"/>
      <w:lvlJc w:val="left"/>
      <w:pPr>
        <w:ind w:left="7156" w:hanging="720"/>
      </w:pPr>
      <w:rPr>
        <w:rFonts w:hint="default"/>
        <w:lang w:val="uk-UA" w:eastAsia="en-US" w:bidi="ar-SA"/>
      </w:rPr>
    </w:lvl>
    <w:lvl w:ilvl="8" w:tplc="B6CC518A">
      <w:numFmt w:val="bullet"/>
      <w:lvlText w:val="•"/>
      <w:lvlJc w:val="left"/>
      <w:pPr>
        <w:ind w:left="8164" w:hanging="720"/>
      </w:pPr>
      <w:rPr>
        <w:rFonts w:hint="default"/>
        <w:lang w:val="uk-UA" w:eastAsia="en-US" w:bidi="ar-SA"/>
      </w:rPr>
    </w:lvl>
  </w:abstractNum>
  <w:abstractNum w:abstractNumId="6">
    <w:nsid w:val="6CED109C"/>
    <w:multiLevelType w:val="hybridMultilevel"/>
    <w:tmpl w:val="6D864FEE"/>
    <w:lvl w:ilvl="0" w:tplc="27484EC6">
      <w:start w:val="9"/>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2921226"/>
    <w:multiLevelType w:val="hybridMultilevel"/>
    <w:tmpl w:val="2AE648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B76406"/>
    <w:multiLevelType w:val="hybridMultilevel"/>
    <w:tmpl w:val="7AE87452"/>
    <w:lvl w:ilvl="0" w:tplc="E814DA7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80DF6"/>
    <w:rsid w:val="0022477F"/>
    <w:rsid w:val="003813DF"/>
    <w:rsid w:val="003832F7"/>
    <w:rsid w:val="00383E32"/>
    <w:rsid w:val="00460071"/>
    <w:rsid w:val="00480DF6"/>
    <w:rsid w:val="006726E1"/>
    <w:rsid w:val="007924E6"/>
    <w:rsid w:val="00793664"/>
    <w:rsid w:val="007A667B"/>
    <w:rsid w:val="008A434C"/>
    <w:rsid w:val="008D4665"/>
    <w:rsid w:val="009B6E8D"/>
    <w:rsid w:val="009E022C"/>
    <w:rsid w:val="009E2518"/>
    <w:rsid w:val="00A54660"/>
    <w:rsid w:val="00B656B4"/>
    <w:rsid w:val="00BD3EED"/>
    <w:rsid w:val="00D439C1"/>
    <w:rsid w:val="00DE4C8A"/>
    <w:rsid w:val="00F47060"/>
    <w:rsid w:val="00F761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DF6"/>
    <w:pPr>
      <w:spacing w:after="0" w:line="240" w:lineRule="auto"/>
    </w:pPr>
    <w:rPr>
      <w:rFonts w:ascii="Times New Roman" w:eastAsia="Calibri"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DF6"/>
    <w:pPr>
      <w:ind w:left="720"/>
      <w:contextualSpacing/>
    </w:pPr>
  </w:style>
  <w:style w:type="paragraph" w:styleId="a4">
    <w:name w:val="header"/>
    <w:basedOn w:val="a"/>
    <w:link w:val="a5"/>
    <w:unhideWhenUsed/>
    <w:rsid w:val="00DE4C8A"/>
    <w:pPr>
      <w:tabs>
        <w:tab w:val="center" w:pos="4677"/>
        <w:tab w:val="right" w:pos="9355"/>
      </w:tabs>
    </w:pPr>
  </w:style>
  <w:style w:type="character" w:customStyle="1" w:styleId="a5">
    <w:name w:val="Верхний колонтитул Знак"/>
    <w:basedOn w:val="a0"/>
    <w:link w:val="a4"/>
    <w:rsid w:val="00DE4C8A"/>
    <w:rPr>
      <w:rFonts w:ascii="Times New Roman" w:eastAsia="Calibri" w:hAnsi="Times New Roman" w:cs="Times New Roman"/>
      <w:sz w:val="28"/>
      <w:szCs w:val="20"/>
      <w:lang w:eastAsia="uk-UA"/>
    </w:rPr>
  </w:style>
  <w:style w:type="table" w:styleId="a6">
    <w:name w:val="Table Grid"/>
    <w:basedOn w:val="a1"/>
    <w:uiPriority w:val="59"/>
    <w:rsid w:val="0079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D3EED"/>
    <w:rPr>
      <w:rFonts w:ascii="Segoe UI" w:hAnsi="Segoe UI" w:cs="Segoe UI"/>
      <w:sz w:val="18"/>
      <w:szCs w:val="18"/>
    </w:rPr>
  </w:style>
  <w:style w:type="character" w:customStyle="1" w:styleId="a8">
    <w:name w:val="Текст выноски Знак"/>
    <w:basedOn w:val="a0"/>
    <w:link w:val="a7"/>
    <w:uiPriority w:val="99"/>
    <w:semiHidden/>
    <w:rsid w:val="00BD3EED"/>
    <w:rPr>
      <w:rFonts w:ascii="Segoe UI" w:eastAsia="Calibri" w:hAnsi="Segoe UI" w:cs="Segoe UI"/>
      <w:sz w:val="18"/>
      <w:szCs w:val="18"/>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E673-3C44-44E0-91CE-8CCA1B46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11509</Words>
  <Characters>6561</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Dushanina</dc:creator>
  <cp:keywords/>
  <dc:description/>
  <cp:lastModifiedBy>vikonkom6</cp:lastModifiedBy>
  <cp:revision>14</cp:revision>
  <cp:lastPrinted>2021-10-18T10:54:00Z</cp:lastPrinted>
  <dcterms:created xsi:type="dcterms:W3CDTF">2020-12-22T10:24:00Z</dcterms:created>
  <dcterms:modified xsi:type="dcterms:W3CDTF">2021-10-21T08:55:00Z</dcterms:modified>
</cp:coreProperties>
</file>