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drawings/drawing1.xml" ContentType="application/vnd.openxmlformats-officedocument.drawingml.chartshapes+xml"/>
  <Override PartName="/word/charts/chart14.xml" ContentType="application/vnd.openxmlformats-officedocument.drawingml.chart+xml"/>
  <Override PartName="/word/charts/chart15.xml" ContentType="application/vnd.openxmlformats-officedocument.drawingml.chart+xml"/>
  <Override PartName="/word/drawings/drawing2.xml" ContentType="application/vnd.openxmlformats-officedocument.drawingml.chartshapes+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drawings/drawing3.xml" ContentType="application/vnd.openxmlformats-officedocument.drawingml.chartshapes+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A56" w:rsidRPr="00FF7197" w:rsidRDefault="0098613B" w:rsidP="00FF7197">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98613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FF7197" w:rsidRPr="00FF7197">
        <w:rPr>
          <w:rFonts w:ascii="Times New Roman" w:hAnsi="Times New Roman" w:cs="Times New Roman"/>
          <w:b/>
          <w:sz w:val="24"/>
          <w:szCs w:val="24"/>
        </w:rPr>
        <w:t xml:space="preserve">Додаток 1 </w:t>
      </w:r>
    </w:p>
    <w:p w:rsidR="00FF7197" w:rsidRDefault="00FF7197" w:rsidP="00197A56">
      <w:pPr>
        <w:jc w:val="center"/>
        <w:rPr>
          <w:rFonts w:ascii="Times New Roman" w:hAnsi="Times New Roman" w:cs="Times New Roman"/>
          <w:b/>
          <w:sz w:val="28"/>
          <w:szCs w:val="28"/>
        </w:rPr>
      </w:pPr>
    </w:p>
    <w:p w:rsidR="0098613B" w:rsidRPr="00B82480" w:rsidRDefault="00B82480" w:rsidP="00197A56">
      <w:pPr>
        <w:jc w:val="center"/>
        <w:rPr>
          <w:rFonts w:ascii="Times New Roman" w:hAnsi="Times New Roman" w:cs="Times New Roman"/>
          <w:b/>
          <w:sz w:val="28"/>
          <w:szCs w:val="28"/>
        </w:rPr>
      </w:pPr>
      <w:r w:rsidRPr="00B82480">
        <w:rPr>
          <w:rFonts w:ascii="Times New Roman" w:hAnsi="Times New Roman" w:cs="Times New Roman"/>
          <w:b/>
          <w:sz w:val="28"/>
          <w:szCs w:val="28"/>
        </w:rPr>
        <w:t>Профіль Костянтинівської міської територіальної громади</w:t>
      </w:r>
    </w:p>
    <w:p w:rsidR="008B5149" w:rsidRPr="00197A56" w:rsidRDefault="008B5149" w:rsidP="00B82480">
      <w:pPr>
        <w:pStyle w:val="30"/>
        <w:framePr w:h="310" w:wrap="notBeside" w:vAnchor="text" w:hAnchor="page" w:x="829" w:y="994"/>
        <w:shd w:val="clear" w:color="auto" w:fill="auto"/>
        <w:spacing w:line="310" w:lineRule="exact"/>
        <w:rPr>
          <w:color w:val="C00000"/>
        </w:rPr>
      </w:pPr>
    </w:p>
    <w:p w:rsidR="00972A03" w:rsidRDefault="00972A03" w:rsidP="00B82480">
      <w:pPr>
        <w:pStyle w:val="210"/>
        <w:keepNext/>
        <w:keepLines/>
        <w:shd w:val="clear" w:color="auto" w:fill="auto"/>
        <w:spacing w:after="173"/>
        <w:ind w:firstLine="0"/>
        <w:jc w:val="center"/>
        <w:rPr>
          <w:rStyle w:val="22"/>
          <w:b/>
        </w:rPr>
      </w:pPr>
      <w:bookmarkStart w:id="0" w:name="bookmark1"/>
      <w:bookmarkStart w:id="1" w:name="bookmark2"/>
    </w:p>
    <w:p w:rsidR="00DD623E" w:rsidRPr="00A35001" w:rsidRDefault="00DD623E" w:rsidP="00B82480">
      <w:pPr>
        <w:pStyle w:val="210"/>
        <w:keepNext/>
        <w:keepLines/>
        <w:shd w:val="clear" w:color="auto" w:fill="auto"/>
        <w:spacing w:after="173"/>
        <w:ind w:firstLine="0"/>
        <w:jc w:val="center"/>
        <w:rPr>
          <w:bCs w:val="0"/>
          <w:noProof/>
          <w:shd w:val="clear" w:color="auto" w:fill="FFFFFF"/>
        </w:rPr>
      </w:pPr>
      <w:bookmarkStart w:id="2" w:name="_GoBack"/>
      <w:bookmarkEnd w:id="2"/>
      <w:r w:rsidRPr="00A35001">
        <w:rPr>
          <w:rStyle w:val="22"/>
          <w:b/>
        </w:rPr>
        <w:t>1</w:t>
      </w:r>
      <w:r w:rsidR="00B354E4">
        <w:rPr>
          <w:rStyle w:val="22"/>
          <w:b/>
        </w:rPr>
        <w:t>.</w:t>
      </w:r>
      <w:r w:rsidRPr="00A35001">
        <w:rPr>
          <w:rStyle w:val="22"/>
          <w:b/>
        </w:rPr>
        <w:t xml:space="preserve"> Аналітичний звіт про стан соціально - економічного розвитку</w:t>
      </w:r>
      <w:r w:rsidRPr="00A35001">
        <w:rPr>
          <w:rStyle w:val="220"/>
          <w:b/>
        </w:rPr>
        <w:t xml:space="preserve"> </w:t>
      </w:r>
      <w:r w:rsidRPr="00A35001">
        <w:rPr>
          <w:rStyle w:val="22"/>
          <w:b/>
        </w:rPr>
        <w:t>громади</w:t>
      </w:r>
      <w:bookmarkEnd w:id="0"/>
      <w:bookmarkEnd w:id="1"/>
    </w:p>
    <w:p w:rsidR="00DD623E" w:rsidRPr="00E05855" w:rsidRDefault="00DD623E" w:rsidP="00C8305E">
      <w:pPr>
        <w:pStyle w:val="32"/>
        <w:keepNext/>
        <w:keepLines/>
        <w:shd w:val="clear" w:color="auto" w:fill="auto"/>
        <w:spacing w:before="0" w:after="60" w:line="270" w:lineRule="exact"/>
        <w:jc w:val="center"/>
        <w:rPr>
          <w:sz w:val="24"/>
          <w:szCs w:val="24"/>
        </w:rPr>
      </w:pPr>
      <w:bookmarkStart w:id="3" w:name="bookmark3"/>
      <w:r w:rsidRPr="00E05855">
        <w:rPr>
          <w:sz w:val="24"/>
          <w:szCs w:val="24"/>
        </w:rPr>
        <w:t>1.1</w:t>
      </w:r>
      <w:r w:rsidR="00027644">
        <w:rPr>
          <w:sz w:val="24"/>
          <w:szCs w:val="24"/>
        </w:rPr>
        <w:t>.</w:t>
      </w:r>
      <w:r w:rsidRPr="00E05855">
        <w:rPr>
          <w:sz w:val="24"/>
          <w:szCs w:val="24"/>
        </w:rPr>
        <w:t xml:space="preserve"> Коротка характеристика області, району та громади</w:t>
      </w:r>
      <w:bookmarkEnd w:id="3"/>
    </w:p>
    <w:p w:rsidR="00DD623E" w:rsidRDefault="00DD623E" w:rsidP="00DD623E">
      <w:pPr>
        <w:ind w:firstLine="708"/>
        <w:jc w:val="both"/>
        <w:rPr>
          <w:rFonts w:ascii="Times New Roman" w:hAnsi="Times New Roman" w:cs="Times New Roman"/>
          <w:sz w:val="24"/>
          <w:szCs w:val="24"/>
        </w:rPr>
      </w:pPr>
      <w:bookmarkStart w:id="4" w:name="bookmark4"/>
      <w:r w:rsidRPr="00DD623E">
        <w:rPr>
          <w:rFonts w:ascii="Times New Roman" w:hAnsi="Times New Roman" w:cs="Times New Roman"/>
          <w:sz w:val="24"/>
          <w:szCs w:val="24"/>
        </w:rPr>
        <w:t>Розпорядженням Кабінету Міністрів Укра</w:t>
      </w:r>
      <w:r w:rsidR="006573D3">
        <w:rPr>
          <w:rFonts w:ascii="Times New Roman" w:hAnsi="Times New Roman" w:cs="Times New Roman"/>
          <w:sz w:val="24"/>
          <w:szCs w:val="24"/>
        </w:rPr>
        <w:t>їни №710-р від 12 червня 2020 року були визначені</w:t>
      </w:r>
      <w:r w:rsidRPr="00DD623E">
        <w:rPr>
          <w:rFonts w:ascii="Times New Roman" w:hAnsi="Times New Roman" w:cs="Times New Roman"/>
          <w:sz w:val="24"/>
          <w:szCs w:val="24"/>
        </w:rPr>
        <w:t xml:space="preserve"> адмін</w:t>
      </w:r>
      <w:r w:rsidR="006573D3">
        <w:rPr>
          <w:rFonts w:ascii="Times New Roman" w:hAnsi="Times New Roman" w:cs="Times New Roman"/>
          <w:sz w:val="24"/>
          <w:szCs w:val="24"/>
        </w:rPr>
        <w:t>істративні центри та затверджені</w:t>
      </w:r>
      <w:r w:rsidRPr="00DD623E">
        <w:rPr>
          <w:rFonts w:ascii="Times New Roman" w:hAnsi="Times New Roman" w:cs="Times New Roman"/>
          <w:sz w:val="24"/>
          <w:szCs w:val="24"/>
        </w:rPr>
        <w:t xml:space="preserve"> території територіальних громад Донецької області. </w:t>
      </w:r>
    </w:p>
    <w:p w:rsidR="00DD623E" w:rsidRDefault="00DD623E" w:rsidP="00DD623E">
      <w:pPr>
        <w:ind w:firstLine="708"/>
        <w:jc w:val="both"/>
        <w:rPr>
          <w:rFonts w:ascii="Times New Roman" w:hAnsi="Times New Roman" w:cs="Times New Roman"/>
          <w:sz w:val="24"/>
          <w:szCs w:val="24"/>
        </w:rPr>
      </w:pPr>
      <w:r w:rsidRPr="005266E8">
        <w:rPr>
          <w:rFonts w:ascii="Times New Roman" w:hAnsi="Times New Roman" w:cs="Times New Roman"/>
          <w:sz w:val="24"/>
          <w:szCs w:val="24"/>
        </w:rPr>
        <w:t xml:space="preserve">Згідно </w:t>
      </w:r>
      <w:r w:rsidR="005266E8" w:rsidRPr="005266E8">
        <w:rPr>
          <w:rFonts w:ascii="Times New Roman" w:hAnsi="Times New Roman" w:cs="Times New Roman"/>
          <w:sz w:val="24"/>
          <w:szCs w:val="24"/>
        </w:rPr>
        <w:t>із цим документом</w:t>
      </w:r>
      <w:r w:rsidRPr="00DD623E">
        <w:rPr>
          <w:rFonts w:ascii="Times New Roman" w:hAnsi="Times New Roman" w:cs="Times New Roman"/>
          <w:sz w:val="24"/>
          <w:szCs w:val="24"/>
        </w:rPr>
        <w:t>, на базі населених пунктів Костянтинівськ</w:t>
      </w:r>
      <w:r>
        <w:rPr>
          <w:rFonts w:ascii="Times New Roman" w:hAnsi="Times New Roman" w:cs="Times New Roman"/>
          <w:sz w:val="24"/>
          <w:szCs w:val="24"/>
        </w:rPr>
        <w:t>ого району було сформовано Костянтин</w:t>
      </w:r>
      <w:r w:rsidRPr="00DD623E">
        <w:rPr>
          <w:rFonts w:ascii="Times New Roman" w:hAnsi="Times New Roman" w:cs="Times New Roman"/>
          <w:sz w:val="24"/>
          <w:szCs w:val="24"/>
        </w:rPr>
        <w:t xml:space="preserve">івську міську територіальну громаду (далі </w:t>
      </w:r>
      <w:proofErr w:type="spellStart"/>
      <w:r w:rsidR="003B26CF">
        <w:rPr>
          <w:rFonts w:ascii="Times New Roman" w:hAnsi="Times New Roman" w:cs="Times New Roman"/>
          <w:sz w:val="24"/>
          <w:szCs w:val="24"/>
        </w:rPr>
        <w:t>-Костянтинівська</w:t>
      </w:r>
      <w:proofErr w:type="spellEnd"/>
      <w:r w:rsidR="003B26CF">
        <w:rPr>
          <w:rFonts w:ascii="Times New Roman" w:hAnsi="Times New Roman" w:cs="Times New Roman"/>
          <w:sz w:val="24"/>
          <w:szCs w:val="24"/>
        </w:rPr>
        <w:t xml:space="preserve"> громада</w:t>
      </w:r>
      <w:r w:rsidRPr="00DD623E">
        <w:rPr>
          <w:rFonts w:ascii="Times New Roman" w:hAnsi="Times New Roman" w:cs="Times New Roman"/>
          <w:sz w:val="24"/>
          <w:szCs w:val="24"/>
        </w:rPr>
        <w:t>). Д</w:t>
      </w:r>
      <w:r w:rsidR="005266E8">
        <w:rPr>
          <w:rFonts w:ascii="Times New Roman" w:hAnsi="Times New Roman" w:cs="Times New Roman"/>
          <w:sz w:val="24"/>
          <w:szCs w:val="24"/>
        </w:rPr>
        <w:t>о її складу у</w:t>
      </w:r>
      <w:r w:rsidR="006573D3">
        <w:rPr>
          <w:rFonts w:ascii="Times New Roman" w:hAnsi="Times New Roman" w:cs="Times New Roman"/>
          <w:sz w:val="24"/>
          <w:szCs w:val="24"/>
        </w:rPr>
        <w:t>війшли місто</w:t>
      </w:r>
      <w:r>
        <w:rPr>
          <w:rFonts w:ascii="Times New Roman" w:hAnsi="Times New Roman" w:cs="Times New Roman"/>
          <w:sz w:val="24"/>
          <w:szCs w:val="24"/>
        </w:rPr>
        <w:t xml:space="preserve"> Костянтинівка та </w:t>
      </w:r>
      <w:r w:rsidRPr="00DD623E">
        <w:rPr>
          <w:rFonts w:ascii="Times New Roman" w:hAnsi="Times New Roman" w:cs="Times New Roman"/>
          <w:sz w:val="24"/>
          <w:szCs w:val="24"/>
        </w:rPr>
        <w:t xml:space="preserve"> наступн</w:t>
      </w:r>
      <w:r w:rsidR="00C8417A">
        <w:rPr>
          <w:rFonts w:ascii="Times New Roman" w:hAnsi="Times New Roman" w:cs="Times New Roman"/>
          <w:sz w:val="24"/>
          <w:szCs w:val="24"/>
        </w:rPr>
        <w:t>і сільські</w:t>
      </w:r>
      <w:r w:rsidRPr="00DD623E">
        <w:rPr>
          <w:rFonts w:ascii="Times New Roman" w:hAnsi="Times New Roman" w:cs="Times New Roman"/>
          <w:sz w:val="24"/>
          <w:szCs w:val="24"/>
        </w:rPr>
        <w:t xml:space="preserve"> ради Костянтинівського району:</w:t>
      </w:r>
      <w:r w:rsidRPr="00DD623E">
        <w:t xml:space="preserve"> </w:t>
      </w:r>
      <w:proofErr w:type="spellStart"/>
      <w:r>
        <w:rPr>
          <w:rFonts w:ascii="Times New Roman" w:hAnsi="Times New Roman" w:cs="Times New Roman"/>
          <w:sz w:val="24"/>
          <w:szCs w:val="24"/>
        </w:rPr>
        <w:t>Іванопільська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Віролюбівськ</w:t>
      </w:r>
      <w:r w:rsidR="00C8417A">
        <w:rPr>
          <w:rFonts w:ascii="Times New Roman" w:hAnsi="Times New Roman" w:cs="Times New Roman"/>
          <w:sz w:val="24"/>
          <w:szCs w:val="24"/>
        </w:rPr>
        <w:t>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Новодмитрівська</w:t>
      </w:r>
      <w:proofErr w:type="spellEnd"/>
      <w:r>
        <w:rPr>
          <w:rFonts w:ascii="Times New Roman" w:hAnsi="Times New Roman" w:cs="Times New Roman"/>
          <w:sz w:val="24"/>
          <w:szCs w:val="24"/>
        </w:rPr>
        <w:t xml:space="preserve">, Миколаївська, </w:t>
      </w:r>
      <w:proofErr w:type="spellStart"/>
      <w:r>
        <w:rPr>
          <w:rFonts w:ascii="Times New Roman" w:hAnsi="Times New Roman" w:cs="Times New Roman"/>
          <w:sz w:val="24"/>
          <w:szCs w:val="24"/>
        </w:rPr>
        <w:t>Предтечинська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Марківська</w:t>
      </w:r>
      <w:proofErr w:type="spellEnd"/>
      <w:r>
        <w:rPr>
          <w:rFonts w:ascii="Times New Roman" w:hAnsi="Times New Roman" w:cs="Times New Roman"/>
          <w:sz w:val="24"/>
          <w:szCs w:val="24"/>
        </w:rPr>
        <w:t xml:space="preserve">, </w:t>
      </w:r>
      <w:proofErr w:type="spellStart"/>
      <w:r w:rsidR="00C8417A">
        <w:rPr>
          <w:rFonts w:ascii="Times New Roman" w:hAnsi="Times New Roman" w:cs="Times New Roman"/>
          <w:sz w:val="24"/>
          <w:szCs w:val="24"/>
        </w:rPr>
        <w:t>Білокузьминівська</w:t>
      </w:r>
      <w:proofErr w:type="spellEnd"/>
      <w:r w:rsidR="00C8417A">
        <w:rPr>
          <w:rFonts w:ascii="Times New Roman" w:hAnsi="Times New Roman" w:cs="Times New Roman"/>
          <w:sz w:val="24"/>
          <w:szCs w:val="24"/>
        </w:rPr>
        <w:t>.</w:t>
      </w:r>
      <w:r w:rsidRPr="00DD623E">
        <w:rPr>
          <w:rFonts w:ascii="Times New Roman" w:hAnsi="Times New Roman" w:cs="Times New Roman"/>
          <w:sz w:val="24"/>
          <w:szCs w:val="24"/>
        </w:rPr>
        <w:t xml:space="preserve"> </w:t>
      </w:r>
      <w:bookmarkEnd w:id="4"/>
    </w:p>
    <w:p w:rsidR="00C8417A" w:rsidRDefault="00C8417A" w:rsidP="00DD623E">
      <w:pPr>
        <w:ind w:firstLine="708"/>
        <w:jc w:val="both"/>
        <w:rPr>
          <w:rFonts w:ascii="Times New Roman" w:hAnsi="Times New Roman" w:cs="Times New Roman"/>
          <w:sz w:val="24"/>
          <w:szCs w:val="24"/>
        </w:rPr>
      </w:pPr>
      <w:r w:rsidRPr="00C8417A">
        <w:rPr>
          <w:rFonts w:ascii="Times New Roman" w:hAnsi="Times New Roman" w:cs="Times New Roman"/>
          <w:noProof/>
          <w:sz w:val="24"/>
          <w:szCs w:val="24"/>
          <w:lang w:val="ru-RU" w:eastAsia="ru-RU"/>
        </w:rPr>
        <w:drawing>
          <wp:inline distT="0" distB="0" distL="0" distR="0">
            <wp:extent cx="4994910" cy="4991100"/>
            <wp:effectExtent l="19050" t="0" r="0" b="0"/>
            <wp:docPr id="5" name="Рисунок 3"/>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a:blip r:embed="rId7"/>
                    <a:srcRect l="33709" t="30909" r="31553" b="12863"/>
                    <a:stretch>
                      <a:fillRect/>
                    </a:stretch>
                  </pic:blipFill>
                  <pic:spPr bwMode="auto">
                    <a:xfrm>
                      <a:off x="0" y="0"/>
                      <a:ext cx="4994910" cy="4991100"/>
                    </a:xfrm>
                    <a:prstGeom prst="rect">
                      <a:avLst/>
                    </a:prstGeom>
                    <a:noFill/>
                    <a:ln w="9525">
                      <a:noFill/>
                      <a:miter lim="800000"/>
                      <a:headEnd/>
                      <a:tailEnd/>
                    </a:ln>
                  </pic:spPr>
                </pic:pic>
              </a:graphicData>
            </a:graphic>
          </wp:inline>
        </w:drawing>
      </w:r>
    </w:p>
    <w:p w:rsidR="00623690" w:rsidRPr="00AC21BE" w:rsidRDefault="00AC21BE" w:rsidP="00623690">
      <w:pPr>
        <w:pStyle w:val="1"/>
        <w:shd w:val="clear" w:color="auto" w:fill="auto"/>
        <w:spacing w:line="190" w:lineRule="exact"/>
        <w:jc w:val="center"/>
        <w:rPr>
          <w:rFonts w:ascii="Times New Roman" w:hAnsi="Times New Roman" w:cs="Times New Roman"/>
          <w:b w:val="0"/>
          <w:sz w:val="20"/>
          <w:szCs w:val="20"/>
        </w:rPr>
      </w:pPr>
      <w:r w:rsidRPr="00AC21BE">
        <w:rPr>
          <w:rStyle w:val="a6"/>
          <w:rFonts w:ascii="Times New Roman" w:hAnsi="Times New Roman" w:cs="Times New Roman"/>
          <w:b/>
          <w:sz w:val="20"/>
          <w:szCs w:val="20"/>
        </w:rPr>
        <w:t>Малю</w:t>
      </w:r>
      <w:r w:rsidR="00623690" w:rsidRPr="00AC21BE">
        <w:rPr>
          <w:rStyle w:val="a6"/>
          <w:rFonts w:ascii="Times New Roman" w:hAnsi="Times New Roman" w:cs="Times New Roman"/>
          <w:b/>
          <w:sz w:val="20"/>
          <w:szCs w:val="20"/>
        </w:rPr>
        <w:t>нок 1</w:t>
      </w:r>
      <w:r w:rsidR="005266E8">
        <w:rPr>
          <w:rStyle w:val="a6"/>
          <w:rFonts w:ascii="Times New Roman" w:hAnsi="Times New Roman" w:cs="Times New Roman"/>
          <w:b/>
          <w:sz w:val="20"/>
          <w:szCs w:val="20"/>
        </w:rPr>
        <w:t>.</w:t>
      </w:r>
      <w:r w:rsidR="00623690" w:rsidRPr="00AC21BE">
        <w:rPr>
          <w:rStyle w:val="a6"/>
          <w:rFonts w:ascii="Times New Roman" w:hAnsi="Times New Roman" w:cs="Times New Roman"/>
          <w:b/>
          <w:sz w:val="20"/>
          <w:szCs w:val="20"/>
        </w:rPr>
        <w:t xml:space="preserve"> Карта районів та громад Донецької області</w:t>
      </w:r>
    </w:p>
    <w:p w:rsidR="00623690" w:rsidRDefault="00623690" w:rsidP="00623690">
      <w:pPr>
        <w:ind w:firstLine="708"/>
        <w:jc w:val="both"/>
        <w:rPr>
          <w:rFonts w:ascii="Times New Roman" w:hAnsi="Times New Roman" w:cs="Times New Roman"/>
          <w:sz w:val="24"/>
          <w:szCs w:val="24"/>
        </w:rPr>
      </w:pPr>
    </w:p>
    <w:p w:rsidR="00623690" w:rsidRPr="00623690" w:rsidRDefault="00623690" w:rsidP="009404EE">
      <w:pPr>
        <w:pStyle w:val="a7"/>
        <w:shd w:val="clear" w:color="auto" w:fill="auto"/>
        <w:spacing w:before="0" w:after="70" w:line="276" w:lineRule="auto"/>
        <w:ind w:left="20" w:right="40" w:firstLine="688"/>
        <w:jc w:val="both"/>
        <w:rPr>
          <w:rFonts w:ascii="Times New Roman" w:hAnsi="Times New Roman" w:cs="Times New Roman"/>
          <w:sz w:val="24"/>
          <w:szCs w:val="24"/>
        </w:rPr>
      </w:pPr>
      <w:r w:rsidRPr="00623690">
        <w:rPr>
          <w:rFonts w:ascii="Times New Roman" w:hAnsi="Times New Roman" w:cs="Times New Roman"/>
          <w:sz w:val="24"/>
          <w:szCs w:val="24"/>
        </w:rPr>
        <w:t>Зага</w:t>
      </w:r>
      <w:r>
        <w:rPr>
          <w:rFonts w:ascii="Times New Roman" w:hAnsi="Times New Roman" w:cs="Times New Roman"/>
          <w:sz w:val="24"/>
          <w:szCs w:val="24"/>
        </w:rPr>
        <w:t>льна чисельність населення Костянтин</w:t>
      </w:r>
      <w:r w:rsidRPr="00623690">
        <w:rPr>
          <w:rFonts w:ascii="Times New Roman" w:hAnsi="Times New Roman" w:cs="Times New Roman"/>
          <w:sz w:val="24"/>
          <w:szCs w:val="24"/>
        </w:rPr>
        <w:t>івської громад</w:t>
      </w:r>
      <w:r w:rsidR="005266E8">
        <w:rPr>
          <w:rFonts w:ascii="Times New Roman" w:hAnsi="Times New Roman" w:cs="Times New Roman"/>
          <w:sz w:val="24"/>
          <w:szCs w:val="24"/>
        </w:rPr>
        <w:t>и на початок 2021 року</w:t>
      </w:r>
      <w:r w:rsidR="00F60E7E">
        <w:rPr>
          <w:rFonts w:ascii="Times New Roman" w:hAnsi="Times New Roman" w:cs="Times New Roman"/>
          <w:sz w:val="24"/>
          <w:szCs w:val="24"/>
        </w:rPr>
        <w:t xml:space="preserve"> становить 73 814 осіб (з них жінок – 55,7%, чоловіків – 44,3</w:t>
      </w:r>
      <w:r w:rsidRPr="00623690">
        <w:rPr>
          <w:rFonts w:ascii="Times New Roman" w:hAnsi="Times New Roman" w:cs="Times New Roman"/>
          <w:sz w:val="24"/>
          <w:szCs w:val="24"/>
        </w:rPr>
        <w:t>%). Площа терито</w:t>
      </w:r>
      <w:r w:rsidR="00F60E7E">
        <w:rPr>
          <w:rFonts w:ascii="Times New Roman" w:hAnsi="Times New Roman" w:cs="Times New Roman"/>
          <w:sz w:val="24"/>
          <w:szCs w:val="24"/>
        </w:rPr>
        <w:t>рії - 473,4</w:t>
      </w:r>
      <w:r w:rsidRPr="00623690">
        <w:rPr>
          <w:rFonts w:ascii="Times New Roman" w:hAnsi="Times New Roman" w:cs="Times New Roman"/>
          <w:sz w:val="24"/>
          <w:szCs w:val="24"/>
        </w:rPr>
        <w:t xml:space="preserve"> кв. км. </w:t>
      </w:r>
      <w:r w:rsidRPr="00623690">
        <w:rPr>
          <w:rFonts w:ascii="Times New Roman" w:hAnsi="Times New Roman" w:cs="Times New Roman"/>
          <w:sz w:val="24"/>
          <w:szCs w:val="24"/>
        </w:rPr>
        <w:lastRenderedPageBreak/>
        <w:t>Роз</w:t>
      </w:r>
      <w:r w:rsidR="007B1DBA">
        <w:rPr>
          <w:rFonts w:ascii="Times New Roman" w:hAnsi="Times New Roman" w:cs="Times New Roman"/>
          <w:sz w:val="24"/>
          <w:szCs w:val="24"/>
        </w:rPr>
        <w:t>поділ населення є нерівномірним,</w:t>
      </w:r>
      <w:r w:rsidRPr="00623690">
        <w:rPr>
          <w:rFonts w:ascii="Times New Roman" w:hAnsi="Times New Roman" w:cs="Times New Roman"/>
          <w:sz w:val="24"/>
          <w:szCs w:val="24"/>
        </w:rPr>
        <w:t xml:space="preserve"> переважна більшість проживає </w:t>
      </w:r>
      <w:r w:rsidR="00F60E7E">
        <w:rPr>
          <w:rFonts w:ascii="Times New Roman" w:hAnsi="Times New Roman" w:cs="Times New Roman"/>
          <w:sz w:val="24"/>
          <w:szCs w:val="24"/>
        </w:rPr>
        <w:t xml:space="preserve">в місті обласного значення Костянтинівка: 93,3 </w:t>
      </w:r>
      <w:r w:rsidRPr="00623690">
        <w:rPr>
          <w:rFonts w:ascii="Times New Roman" w:hAnsi="Times New Roman" w:cs="Times New Roman"/>
          <w:sz w:val="24"/>
          <w:szCs w:val="24"/>
        </w:rPr>
        <w:t>% від загальної чисельност</w:t>
      </w:r>
      <w:r w:rsidR="005266E8">
        <w:rPr>
          <w:rFonts w:ascii="Times New Roman" w:hAnsi="Times New Roman" w:cs="Times New Roman"/>
          <w:sz w:val="24"/>
          <w:szCs w:val="24"/>
        </w:rPr>
        <w:t>і. Решта населення зареєстрована</w:t>
      </w:r>
      <w:r w:rsidRPr="00623690">
        <w:rPr>
          <w:rFonts w:ascii="Times New Roman" w:hAnsi="Times New Roman" w:cs="Times New Roman"/>
          <w:sz w:val="24"/>
          <w:szCs w:val="24"/>
        </w:rPr>
        <w:t xml:space="preserve"> на територ</w:t>
      </w:r>
      <w:r w:rsidR="005266E8">
        <w:rPr>
          <w:rFonts w:ascii="Times New Roman" w:hAnsi="Times New Roman" w:cs="Times New Roman"/>
          <w:sz w:val="24"/>
          <w:szCs w:val="24"/>
        </w:rPr>
        <w:t>ії сільських і селищних рад, яка у</w:t>
      </w:r>
      <w:r w:rsidRPr="00623690">
        <w:rPr>
          <w:rFonts w:ascii="Times New Roman" w:hAnsi="Times New Roman" w:cs="Times New Roman"/>
          <w:sz w:val="24"/>
          <w:szCs w:val="24"/>
        </w:rPr>
        <w:t>війшли до складу громади. Після завершення адміністратив</w:t>
      </w:r>
      <w:r w:rsidR="00F60E7E">
        <w:rPr>
          <w:rFonts w:ascii="Times New Roman" w:hAnsi="Times New Roman" w:cs="Times New Roman"/>
          <w:sz w:val="24"/>
          <w:szCs w:val="24"/>
        </w:rPr>
        <w:t>но-територіального поділу, Костянтин</w:t>
      </w:r>
      <w:r w:rsidRPr="00623690">
        <w:rPr>
          <w:rFonts w:ascii="Times New Roman" w:hAnsi="Times New Roman" w:cs="Times New Roman"/>
          <w:sz w:val="24"/>
          <w:szCs w:val="24"/>
        </w:rPr>
        <w:t>івська громада відноситься до складу</w:t>
      </w:r>
      <w:r w:rsidR="00F60E7E">
        <w:rPr>
          <w:rFonts w:ascii="Times New Roman" w:hAnsi="Times New Roman" w:cs="Times New Roman"/>
          <w:sz w:val="24"/>
          <w:szCs w:val="24"/>
        </w:rPr>
        <w:t xml:space="preserve"> Краматорського району.</w:t>
      </w:r>
    </w:p>
    <w:p w:rsidR="00623690" w:rsidRDefault="00623690" w:rsidP="009404EE">
      <w:pPr>
        <w:ind w:firstLine="708"/>
        <w:jc w:val="both"/>
        <w:rPr>
          <w:rFonts w:ascii="Times New Roman" w:hAnsi="Times New Roman" w:cs="Times New Roman"/>
          <w:sz w:val="24"/>
          <w:szCs w:val="24"/>
        </w:rPr>
      </w:pPr>
    </w:p>
    <w:p w:rsidR="00F60E7E" w:rsidRDefault="00F60E7E" w:rsidP="002130B3">
      <w:pPr>
        <w:jc w:val="both"/>
        <w:rPr>
          <w:rFonts w:ascii="Times New Roman" w:hAnsi="Times New Roman" w:cs="Times New Roman"/>
          <w:sz w:val="24"/>
          <w:szCs w:val="24"/>
        </w:rPr>
      </w:pPr>
      <w:r w:rsidRPr="00F60E7E">
        <w:rPr>
          <w:rFonts w:ascii="Times New Roman" w:hAnsi="Times New Roman" w:cs="Times New Roman"/>
          <w:noProof/>
          <w:sz w:val="24"/>
          <w:szCs w:val="24"/>
          <w:lang w:val="ru-RU" w:eastAsia="ru-RU"/>
        </w:rPr>
        <w:drawing>
          <wp:inline distT="0" distB="0" distL="0" distR="0">
            <wp:extent cx="6046470" cy="5356691"/>
            <wp:effectExtent l="19050" t="0" r="0" b="0"/>
            <wp:docPr id="7" name="Рисунок 7" descr="M:\Doc2.jpg"/>
            <wp:cNvGraphicFramePr/>
            <a:graphic xmlns:a="http://schemas.openxmlformats.org/drawingml/2006/main">
              <a:graphicData uri="http://schemas.openxmlformats.org/drawingml/2006/picture">
                <pic:pic xmlns:pic="http://schemas.openxmlformats.org/drawingml/2006/picture">
                  <pic:nvPicPr>
                    <pic:cNvPr id="4" name="Рисунок 3" descr="M:\Doc2.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6470" cy="5356691"/>
                    </a:xfrm>
                    <a:prstGeom prst="rect">
                      <a:avLst/>
                    </a:prstGeom>
                    <a:noFill/>
                    <a:ln>
                      <a:noFill/>
                    </a:ln>
                  </pic:spPr>
                </pic:pic>
              </a:graphicData>
            </a:graphic>
          </wp:inline>
        </w:drawing>
      </w:r>
    </w:p>
    <w:p w:rsidR="002130B3" w:rsidRDefault="002130B3" w:rsidP="002130B3">
      <w:pPr>
        <w:framePr w:wrap="notBeside" w:vAnchor="text" w:hAnchor="text" w:xAlign="center" w:y="1"/>
        <w:jc w:val="center"/>
        <w:rPr>
          <w:sz w:val="2"/>
          <w:szCs w:val="2"/>
        </w:rPr>
      </w:pPr>
    </w:p>
    <w:p w:rsidR="002130B3" w:rsidRPr="002130B3" w:rsidRDefault="00AC21BE" w:rsidP="002130B3">
      <w:pPr>
        <w:pStyle w:val="1"/>
        <w:framePr w:wrap="notBeside" w:vAnchor="text" w:hAnchor="text" w:xAlign="center" w:y="1"/>
        <w:shd w:val="clear" w:color="auto" w:fill="auto"/>
        <w:spacing w:line="190" w:lineRule="exact"/>
        <w:jc w:val="center"/>
        <w:rPr>
          <w:rFonts w:ascii="Times New Roman" w:hAnsi="Times New Roman" w:cs="Times New Roman"/>
          <w:sz w:val="20"/>
          <w:szCs w:val="20"/>
        </w:rPr>
      </w:pPr>
      <w:r>
        <w:rPr>
          <w:rStyle w:val="11"/>
          <w:rFonts w:ascii="Times New Roman" w:hAnsi="Times New Roman" w:cs="Times New Roman"/>
          <w:b/>
          <w:bCs/>
          <w:sz w:val="20"/>
          <w:szCs w:val="20"/>
        </w:rPr>
        <w:t>Малю</w:t>
      </w:r>
      <w:r w:rsidR="002130B3" w:rsidRPr="002130B3">
        <w:rPr>
          <w:rStyle w:val="11"/>
          <w:rFonts w:ascii="Times New Roman" w:hAnsi="Times New Roman" w:cs="Times New Roman"/>
          <w:b/>
          <w:bCs/>
          <w:sz w:val="20"/>
          <w:szCs w:val="20"/>
        </w:rPr>
        <w:t>нок 2</w:t>
      </w:r>
      <w:r w:rsidR="005266E8">
        <w:rPr>
          <w:rStyle w:val="11"/>
          <w:rFonts w:ascii="Times New Roman" w:hAnsi="Times New Roman" w:cs="Times New Roman"/>
          <w:b/>
          <w:bCs/>
          <w:sz w:val="20"/>
          <w:szCs w:val="20"/>
        </w:rPr>
        <w:t>.</w:t>
      </w:r>
      <w:r w:rsidR="002130B3" w:rsidRPr="002130B3">
        <w:rPr>
          <w:rStyle w:val="11"/>
          <w:rFonts w:ascii="Times New Roman" w:hAnsi="Times New Roman" w:cs="Times New Roman"/>
          <w:b/>
          <w:bCs/>
          <w:sz w:val="20"/>
          <w:szCs w:val="20"/>
        </w:rPr>
        <w:t xml:space="preserve"> Громади, створені в Краматорському районі</w:t>
      </w:r>
    </w:p>
    <w:p w:rsidR="002130B3" w:rsidRDefault="002130B3" w:rsidP="002130B3">
      <w:pPr>
        <w:pStyle w:val="a7"/>
        <w:shd w:val="clear" w:color="auto" w:fill="auto"/>
        <w:spacing w:before="184" w:after="120" w:line="250" w:lineRule="exact"/>
        <w:ind w:left="20" w:right="40" w:firstLine="0"/>
        <w:jc w:val="both"/>
      </w:pPr>
    </w:p>
    <w:p w:rsidR="002130B3" w:rsidRPr="00F90BEB" w:rsidRDefault="002130B3" w:rsidP="002130B3">
      <w:pPr>
        <w:ind w:firstLine="708"/>
        <w:jc w:val="both"/>
        <w:rPr>
          <w:rFonts w:ascii="Times New Roman" w:hAnsi="Times New Roman" w:cs="Times New Roman"/>
          <w:color w:val="FF0000"/>
          <w:sz w:val="24"/>
          <w:szCs w:val="24"/>
        </w:rPr>
      </w:pPr>
      <w:r w:rsidRPr="002130B3">
        <w:rPr>
          <w:rFonts w:ascii="Times New Roman" w:hAnsi="Times New Roman" w:cs="Times New Roman"/>
          <w:sz w:val="24"/>
          <w:szCs w:val="24"/>
        </w:rPr>
        <w:t xml:space="preserve">Краматорський район межує одразу з трьома областями України: Дніпропетровською, Харківською та Луганською. Також його територія проходить по лінії зіткнення, що обумовлює певні особливості розвитку в останні роки та більш високі, порівняно з рядом інших території Донецької області, ризики і загрози. Позитивним фактором є розміщення в районі адміністративного центру - м. Краматорськ, що формує більш високу ділову і соціальну </w:t>
      </w:r>
      <w:r w:rsidR="00F90BEB">
        <w:rPr>
          <w:rFonts w:ascii="Times New Roman" w:hAnsi="Times New Roman" w:cs="Times New Roman"/>
          <w:sz w:val="24"/>
          <w:szCs w:val="24"/>
        </w:rPr>
        <w:t>активність всього регіону. Костянтин</w:t>
      </w:r>
      <w:r w:rsidRPr="002130B3">
        <w:rPr>
          <w:rFonts w:ascii="Times New Roman" w:hAnsi="Times New Roman" w:cs="Times New Roman"/>
          <w:sz w:val="24"/>
          <w:szCs w:val="24"/>
        </w:rPr>
        <w:t xml:space="preserve">івська міська територіальна громада має спільну межу з </w:t>
      </w:r>
      <w:r w:rsidR="00F90BEB">
        <w:rPr>
          <w:rFonts w:ascii="Times New Roman" w:hAnsi="Times New Roman" w:cs="Times New Roman"/>
          <w:sz w:val="24"/>
          <w:szCs w:val="24"/>
        </w:rPr>
        <w:t>Дружківською</w:t>
      </w:r>
      <w:r w:rsidR="00934D23">
        <w:rPr>
          <w:rFonts w:ascii="Times New Roman" w:hAnsi="Times New Roman" w:cs="Times New Roman"/>
          <w:sz w:val="24"/>
          <w:szCs w:val="24"/>
        </w:rPr>
        <w:t>, Іллінівською та Краматорською територіальними громадами</w:t>
      </w:r>
      <w:r w:rsidR="009B0ADF">
        <w:rPr>
          <w:rFonts w:ascii="Times New Roman" w:hAnsi="Times New Roman" w:cs="Times New Roman"/>
          <w:sz w:val="24"/>
          <w:szCs w:val="24"/>
        </w:rPr>
        <w:t>, а також з'єднана з ними</w:t>
      </w:r>
      <w:r w:rsidRPr="002130B3">
        <w:rPr>
          <w:rFonts w:ascii="Times New Roman" w:hAnsi="Times New Roman" w:cs="Times New Roman"/>
          <w:sz w:val="24"/>
          <w:szCs w:val="24"/>
        </w:rPr>
        <w:t xml:space="preserve"> </w:t>
      </w:r>
      <w:r w:rsidR="009B0ADF">
        <w:rPr>
          <w:rFonts w:ascii="Times New Roman" w:hAnsi="Times New Roman" w:cs="Times New Roman"/>
          <w:sz w:val="24"/>
          <w:szCs w:val="24"/>
        </w:rPr>
        <w:t>автомобільними дорогами,</w:t>
      </w:r>
      <w:r w:rsidR="00F90BEB">
        <w:rPr>
          <w:rFonts w:ascii="Times New Roman" w:hAnsi="Times New Roman" w:cs="Times New Roman"/>
          <w:sz w:val="24"/>
          <w:szCs w:val="24"/>
        </w:rPr>
        <w:t xml:space="preserve"> </w:t>
      </w:r>
      <w:r w:rsidR="009B0ADF">
        <w:rPr>
          <w:rFonts w:ascii="Times New Roman" w:hAnsi="Times New Roman" w:cs="Times New Roman"/>
          <w:sz w:val="24"/>
          <w:szCs w:val="24"/>
        </w:rPr>
        <w:t xml:space="preserve">а з Дружківською і Краматорською громадами – </w:t>
      </w:r>
      <w:r w:rsidR="009B0ADF" w:rsidRPr="002130B3">
        <w:rPr>
          <w:rFonts w:ascii="Times New Roman" w:hAnsi="Times New Roman" w:cs="Times New Roman"/>
          <w:sz w:val="24"/>
          <w:szCs w:val="24"/>
        </w:rPr>
        <w:t>залізницею</w:t>
      </w:r>
      <w:r w:rsidR="009B0ADF">
        <w:rPr>
          <w:rFonts w:ascii="Times New Roman" w:hAnsi="Times New Roman" w:cs="Times New Roman"/>
          <w:sz w:val="24"/>
          <w:szCs w:val="24"/>
        </w:rPr>
        <w:t>.</w:t>
      </w:r>
    </w:p>
    <w:p w:rsidR="002130B3" w:rsidRPr="00D013DA" w:rsidRDefault="009B0ADF" w:rsidP="002130B3">
      <w:pPr>
        <w:ind w:firstLine="708"/>
        <w:jc w:val="both"/>
        <w:rPr>
          <w:rFonts w:ascii="Times New Roman" w:hAnsi="Times New Roman" w:cs="Times New Roman"/>
          <w:sz w:val="24"/>
          <w:szCs w:val="24"/>
        </w:rPr>
      </w:pPr>
      <w:r>
        <w:rPr>
          <w:rFonts w:ascii="Times New Roman" w:hAnsi="Times New Roman" w:cs="Times New Roman"/>
          <w:sz w:val="24"/>
          <w:szCs w:val="24"/>
        </w:rPr>
        <w:t>В Краматорському районі</w:t>
      </w:r>
      <w:r w:rsidR="002130B3" w:rsidRPr="00D013DA">
        <w:rPr>
          <w:rFonts w:ascii="Times New Roman" w:hAnsi="Times New Roman" w:cs="Times New Roman"/>
          <w:sz w:val="24"/>
          <w:szCs w:val="24"/>
        </w:rPr>
        <w:t xml:space="preserve"> на території площею 5 196,1 кв. км проживає 553 559 осіб, з них 55% - жінки, 45% - чоловіки. Район поділено на 12 територіальних громад, з яких 7 - міських, 3 - селищних і лише 2 - </w:t>
      </w:r>
      <w:r>
        <w:rPr>
          <w:rFonts w:ascii="Times New Roman" w:hAnsi="Times New Roman" w:cs="Times New Roman"/>
          <w:sz w:val="24"/>
          <w:szCs w:val="24"/>
        </w:rPr>
        <w:t>сільські. П'ять населених пунктів</w:t>
      </w:r>
      <w:r w:rsidR="002130B3" w:rsidRPr="00D013DA">
        <w:rPr>
          <w:rFonts w:ascii="Times New Roman" w:hAnsi="Times New Roman" w:cs="Times New Roman"/>
          <w:sz w:val="24"/>
          <w:szCs w:val="24"/>
        </w:rPr>
        <w:t xml:space="preserve"> - </w:t>
      </w:r>
      <w:r w:rsidR="00D013DA" w:rsidRPr="00D013DA">
        <w:rPr>
          <w:rFonts w:ascii="Times New Roman" w:hAnsi="Times New Roman" w:cs="Times New Roman"/>
          <w:sz w:val="24"/>
          <w:szCs w:val="24"/>
        </w:rPr>
        <w:t xml:space="preserve">Костянтинівка, </w:t>
      </w:r>
      <w:r w:rsidR="002130B3" w:rsidRPr="00D013DA">
        <w:rPr>
          <w:rFonts w:ascii="Times New Roman" w:hAnsi="Times New Roman" w:cs="Times New Roman"/>
          <w:sz w:val="24"/>
          <w:szCs w:val="24"/>
        </w:rPr>
        <w:t xml:space="preserve">Дружківка, </w:t>
      </w:r>
      <w:r w:rsidR="002130B3" w:rsidRPr="00D013DA">
        <w:rPr>
          <w:rFonts w:ascii="Times New Roman" w:hAnsi="Times New Roman" w:cs="Times New Roman"/>
          <w:sz w:val="24"/>
          <w:szCs w:val="24"/>
        </w:rPr>
        <w:lastRenderedPageBreak/>
        <w:t>Краматорськ, Лиман та Слов'янськ є м</w:t>
      </w:r>
      <w:r w:rsidR="00F90BEB" w:rsidRPr="00D013DA">
        <w:rPr>
          <w:rFonts w:ascii="Times New Roman" w:hAnsi="Times New Roman" w:cs="Times New Roman"/>
          <w:sz w:val="24"/>
          <w:szCs w:val="24"/>
        </w:rPr>
        <w:t>істами обласного значення. Костянтин</w:t>
      </w:r>
      <w:r w:rsidR="002130B3" w:rsidRPr="00D013DA">
        <w:rPr>
          <w:rFonts w:ascii="Times New Roman" w:hAnsi="Times New Roman" w:cs="Times New Roman"/>
          <w:sz w:val="24"/>
          <w:szCs w:val="24"/>
        </w:rPr>
        <w:t>івс</w:t>
      </w:r>
      <w:r w:rsidR="00D013DA" w:rsidRPr="00D013DA">
        <w:rPr>
          <w:rFonts w:ascii="Times New Roman" w:hAnsi="Times New Roman" w:cs="Times New Roman"/>
          <w:sz w:val="24"/>
          <w:szCs w:val="24"/>
        </w:rPr>
        <w:t xml:space="preserve">ька громада є </w:t>
      </w:r>
      <w:r w:rsidR="002130B3" w:rsidRPr="00D013DA">
        <w:rPr>
          <w:rFonts w:ascii="Times New Roman" w:hAnsi="Times New Roman" w:cs="Times New Roman"/>
          <w:sz w:val="24"/>
          <w:szCs w:val="24"/>
        </w:rPr>
        <w:t xml:space="preserve">великою за площею: </w:t>
      </w:r>
      <w:r w:rsidR="00D013DA" w:rsidRPr="00D013DA">
        <w:rPr>
          <w:rFonts w:ascii="Times New Roman" w:hAnsi="Times New Roman" w:cs="Times New Roman"/>
          <w:sz w:val="24"/>
          <w:szCs w:val="24"/>
        </w:rPr>
        <w:t>9,1</w:t>
      </w:r>
      <w:r w:rsidR="002130B3" w:rsidRPr="00D013DA">
        <w:rPr>
          <w:rFonts w:ascii="Times New Roman" w:hAnsi="Times New Roman" w:cs="Times New Roman"/>
          <w:sz w:val="24"/>
          <w:szCs w:val="24"/>
        </w:rPr>
        <w:t>% від загалу</w:t>
      </w:r>
      <w:r w:rsidR="00D013DA" w:rsidRPr="00D013DA">
        <w:rPr>
          <w:rFonts w:ascii="Times New Roman" w:hAnsi="Times New Roman" w:cs="Times New Roman"/>
          <w:sz w:val="24"/>
          <w:szCs w:val="24"/>
        </w:rPr>
        <w:t>, та</w:t>
      </w:r>
      <w:r w:rsidR="002130B3" w:rsidRPr="00D013DA">
        <w:rPr>
          <w:rFonts w:ascii="Times New Roman" w:hAnsi="Times New Roman" w:cs="Times New Roman"/>
          <w:sz w:val="24"/>
          <w:szCs w:val="24"/>
        </w:rPr>
        <w:t xml:space="preserve"> однією з найбільших за чисельністю населення: 1</w:t>
      </w:r>
      <w:r w:rsidR="00D013DA" w:rsidRPr="00D013DA">
        <w:rPr>
          <w:rFonts w:ascii="Times New Roman" w:hAnsi="Times New Roman" w:cs="Times New Roman"/>
          <w:sz w:val="24"/>
          <w:szCs w:val="24"/>
        </w:rPr>
        <w:t>3</w:t>
      </w:r>
      <w:r w:rsidR="002130B3" w:rsidRPr="00D013DA">
        <w:rPr>
          <w:rFonts w:ascii="Times New Roman" w:hAnsi="Times New Roman" w:cs="Times New Roman"/>
          <w:sz w:val="24"/>
          <w:szCs w:val="24"/>
        </w:rPr>
        <w:t>,</w:t>
      </w:r>
      <w:r w:rsidR="00D013DA" w:rsidRPr="00D013DA">
        <w:rPr>
          <w:rFonts w:ascii="Times New Roman" w:hAnsi="Times New Roman" w:cs="Times New Roman"/>
          <w:sz w:val="24"/>
          <w:szCs w:val="24"/>
        </w:rPr>
        <w:t>3</w:t>
      </w:r>
      <w:r w:rsidR="002130B3" w:rsidRPr="00D013DA">
        <w:rPr>
          <w:rFonts w:ascii="Times New Roman" w:hAnsi="Times New Roman" w:cs="Times New Roman"/>
          <w:sz w:val="24"/>
          <w:szCs w:val="24"/>
        </w:rPr>
        <w:t xml:space="preserve">%. Серед міських громад меншою за площею є лише Слов'янська міська територіальна громада, за чисельністю мешканців – </w:t>
      </w:r>
      <w:proofErr w:type="spellStart"/>
      <w:r w:rsidR="002130B3" w:rsidRPr="00D013DA">
        <w:rPr>
          <w:rFonts w:ascii="Times New Roman" w:hAnsi="Times New Roman" w:cs="Times New Roman"/>
          <w:sz w:val="24"/>
          <w:szCs w:val="24"/>
        </w:rPr>
        <w:t>Лиманська</w:t>
      </w:r>
      <w:proofErr w:type="spellEnd"/>
      <w:r w:rsidR="002130B3" w:rsidRPr="00D013DA">
        <w:rPr>
          <w:rFonts w:ascii="Times New Roman" w:hAnsi="Times New Roman" w:cs="Times New Roman"/>
          <w:sz w:val="24"/>
          <w:szCs w:val="24"/>
        </w:rPr>
        <w:t>.</w:t>
      </w:r>
    </w:p>
    <w:p w:rsidR="00F90BEB" w:rsidRDefault="00F90BEB" w:rsidP="00F90BEB">
      <w:pPr>
        <w:jc w:val="both"/>
        <w:rPr>
          <w:rFonts w:ascii="Times New Roman" w:hAnsi="Times New Roman" w:cs="Times New Roman"/>
          <w:sz w:val="24"/>
          <w:szCs w:val="24"/>
        </w:rPr>
      </w:pPr>
      <w:r w:rsidRPr="00F90BEB">
        <w:rPr>
          <w:rFonts w:ascii="Times New Roman" w:hAnsi="Times New Roman" w:cs="Times New Roman"/>
          <w:noProof/>
          <w:sz w:val="24"/>
          <w:szCs w:val="24"/>
          <w:lang w:val="ru-RU" w:eastAsia="ru-RU"/>
        </w:rPr>
        <w:drawing>
          <wp:inline distT="0" distB="0" distL="0" distR="0">
            <wp:extent cx="6412230" cy="3086100"/>
            <wp:effectExtent l="19050" t="0" r="2667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90BEB" w:rsidRPr="002130B3" w:rsidRDefault="00AC21BE" w:rsidP="00F90BEB">
      <w:pPr>
        <w:pStyle w:val="1"/>
        <w:shd w:val="clear" w:color="auto" w:fill="auto"/>
        <w:spacing w:line="190" w:lineRule="exact"/>
        <w:jc w:val="center"/>
        <w:rPr>
          <w:rFonts w:ascii="Times New Roman" w:hAnsi="Times New Roman" w:cs="Times New Roman"/>
          <w:sz w:val="20"/>
          <w:szCs w:val="20"/>
        </w:rPr>
      </w:pPr>
      <w:r>
        <w:rPr>
          <w:rStyle w:val="11"/>
          <w:rFonts w:ascii="Times New Roman" w:hAnsi="Times New Roman" w:cs="Times New Roman"/>
          <w:b/>
          <w:bCs/>
          <w:sz w:val="20"/>
          <w:szCs w:val="20"/>
        </w:rPr>
        <w:t>Малю</w:t>
      </w:r>
      <w:r w:rsidR="00F90BEB">
        <w:rPr>
          <w:rStyle w:val="11"/>
          <w:rFonts w:ascii="Times New Roman" w:hAnsi="Times New Roman" w:cs="Times New Roman"/>
          <w:b/>
          <w:bCs/>
          <w:sz w:val="20"/>
          <w:szCs w:val="20"/>
        </w:rPr>
        <w:t>нок 3</w:t>
      </w:r>
      <w:r w:rsidR="009B0ADF">
        <w:rPr>
          <w:rStyle w:val="11"/>
          <w:rFonts w:ascii="Times New Roman" w:hAnsi="Times New Roman" w:cs="Times New Roman"/>
          <w:b/>
          <w:bCs/>
          <w:sz w:val="20"/>
          <w:szCs w:val="20"/>
        </w:rPr>
        <w:t>.</w:t>
      </w:r>
      <w:r w:rsidR="00F90BEB" w:rsidRPr="002130B3">
        <w:rPr>
          <w:rStyle w:val="11"/>
          <w:rFonts w:ascii="Times New Roman" w:hAnsi="Times New Roman" w:cs="Times New Roman"/>
          <w:b/>
          <w:bCs/>
          <w:sz w:val="20"/>
          <w:szCs w:val="20"/>
        </w:rPr>
        <w:t xml:space="preserve"> </w:t>
      </w:r>
      <w:r w:rsidR="00F90BEB" w:rsidRPr="00F90BEB">
        <w:rPr>
          <w:rFonts w:ascii="Times New Roman" w:hAnsi="Times New Roman" w:cs="Times New Roman"/>
          <w:sz w:val="20"/>
          <w:szCs w:val="20"/>
        </w:rPr>
        <w:t>Громада серед інших громад району за населенням, осіб</w:t>
      </w:r>
      <w:r w:rsidR="009B0ADF">
        <w:rPr>
          <w:rFonts w:ascii="Times New Roman" w:hAnsi="Times New Roman" w:cs="Times New Roman"/>
          <w:sz w:val="20"/>
          <w:szCs w:val="20"/>
        </w:rPr>
        <w:t>.</w:t>
      </w:r>
    </w:p>
    <w:p w:rsidR="00F90BEB" w:rsidRDefault="00F90BEB" w:rsidP="00F90BEB">
      <w:pPr>
        <w:jc w:val="both"/>
        <w:rPr>
          <w:rFonts w:ascii="Times New Roman" w:hAnsi="Times New Roman" w:cs="Times New Roman"/>
          <w:sz w:val="24"/>
          <w:szCs w:val="24"/>
        </w:rPr>
      </w:pPr>
    </w:p>
    <w:p w:rsidR="00F90BEB" w:rsidRDefault="003A70E9" w:rsidP="00F90BEB">
      <w:pPr>
        <w:jc w:val="both"/>
        <w:rPr>
          <w:rFonts w:ascii="Times New Roman" w:hAnsi="Times New Roman" w:cs="Times New Roman"/>
          <w:sz w:val="24"/>
          <w:szCs w:val="24"/>
        </w:rPr>
      </w:pPr>
      <w:r w:rsidRPr="003A70E9">
        <w:rPr>
          <w:rFonts w:ascii="Times New Roman" w:hAnsi="Times New Roman" w:cs="Times New Roman"/>
          <w:noProof/>
          <w:sz w:val="24"/>
          <w:szCs w:val="24"/>
          <w:lang w:val="ru-RU" w:eastAsia="ru-RU"/>
        </w:rPr>
        <w:drawing>
          <wp:inline distT="0" distB="0" distL="0" distR="0">
            <wp:extent cx="6120765" cy="3303114"/>
            <wp:effectExtent l="19050" t="0" r="1333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A70E9" w:rsidRPr="002130B3" w:rsidRDefault="00AC21BE" w:rsidP="003A70E9">
      <w:pPr>
        <w:pStyle w:val="1"/>
        <w:shd w:val="clear" w:color="auto" w:fill="auto"/>
        <w:spacing w:line="190" w:lineRule="exact"/>
        <w:jc w:val="center"/>
        <w:rPr>
          <w:rFonts w:ascii="Times New Roman" w:hAnsi="Times New Roman" w:cs="Times New Roman"/>
          <w:sz w:val="20"/>
          <w:szCs w:val="20"/>
        </w:rPr>
      </w:pPr>
      <w:r>
        <w:rPr>
          <w:rStyle w:val="11"/>
          <w:rFonts w:ascii="Times New Roman" w:hAnsi="Times New Roman" w:cs="Times New Roman"/>
          <w:b/>
          <w:bCs/>
          <w:sz w:val="20"/>
          <w:szCs w:val="20"/>
        </w:rPr>
        <w:t>Малю</w:t>
      </w:r>
      <w:r w:rsidR="003A70E9">
        <w:rPr>
          <w:rStyle w:val="11"/>
          <w:rFonts w:ascii="Times New Roman" w:hAnsi="Times New Roman" w:cs="Times New Roman"/>
          <w:b/>
          <w:bCs/>
          <w:sz w:val="20"/>
          <w:szCs w:val="20"/>
        </w:rPr>
        <w:t>нок 4</w:t>
      </w:r>
      <w:r w:rsidR="009B0ADF">
        <w:rPr>
          <w:rStyle w:val="11"/>
          <w:rFonts w:ascii="Times New Roman" w:hAnsi="Times New Roman" w:cs="Times New Roman"/>
          <w:b/>
          <w:bCs/>
          <w:sz w:val="20"/>
          <w:szCs w:val="20"/>
        </w:rPr>
        <w:t>.</w:t>
      </w:r>
      <w:r w:rsidR="003A70E9" w:rsidRPr="002130B3">
        <w:rPr>
          <w:rStyle w:val="11"/>
          <w:rFonts w:ascii="Times New Roman" w:hAnsi="Times New Roman" w:cs="Times New Roman"/>
          <w:b/>
          <w:bCs/>
          <w:sz w:val="20"/>
          <w:szCs w:val="20"/>
        </w:rPr>
        <w:t xml:space="preserve"> </w:t>
      </w:r>
      <w:r w:rsidR="003A70E9" w:rsidRPr="003A70E9">
        <w:rPr>
          <w:rFonts w:ascii="Times New Roman" w:hAnsi="Times New Roman" w:cs="Times New Roman"/>
          <w:sz w:val="20"/>
          <w:szCs w:val="20"/>
        </w:rPr>
        <w:t>Громада серед інших громад району за площею, кв. км</w:t>
      </w:r>
    </w:p>
    <w:p w:rsidR="003A70E9" w:rsidRDefault="003A70E9" w:rsidP="00F90BEB">
      <w:pPr>
        <w:jc w:val="both"/>
        <w:rPr>
          <w:rFonts w:ascii="Times New Roman" w:hAnsi="Times New Roman" w:cs="Times New Roman"/>
          <w:sz w:val="24"/>
          <w:szCs w:val="24"/>
        </w:rPr>
      </w:pPr>
    </w:p>
    <w:p w:rsidR="00AA05C1" w:rsidRPr="00AA05C1" w:rsidRDefault="00AA05C1" w:rsidP="00FE6B96">
      <w:pPr>
        <w:pStyle w:val="a7"/>
        <w:shd w:val="clear" w:color="auto" w:fill="auto"/>
        <w:spacing w:before="0" w:line="276" w:lineRule="auto"/>
        <w:ind w:left="20" w:right="20" w:firstLine="688"/>
        <w:jc w:val="both"/>
        <w:rPr>
          <w:rFonts w:ascii="Times New Roman" w:hAnsi="Times New Roman" w:cs="Times New Roman"/>
          <w:sz w:val="24"/>
          <w:szCs w:val="24"/>
        </w:rPr>
      </w:pPr>
      <w:r w:rsidRPr="00AA05C1">
        <w:rPr>
          <w:rFonts w:ascii="Times New Roman" w:hAnsi="Times New Roman" w:cs="Times New Roman"/>
          <w:sz w:val="24"/>
          <w:szCs w:val="24"/>
        </w:rPr>
        <w:t xml:space="preserve">Висока концентрація в Краматорському районі муніципальних утворень чітко вказує на його промислову спеціалізацію та тяжіння до міського типу інфраструктури і проживання більшості мешканців в містах. Обласна адміністрація виділяє в районі 24 великих промислових підприємства або 55% від загальної кількості по Донецькій області. Найбільшим є представництво в наступних секторах: </w:t>
      </w:r>
      <w:r>
        <w:rPr>
          <w:rFonts w:ascii="Times New Roman" w:hAnsi="Times New Roman" w:cs="Times New Roman"/>
          <w:sz w:val="24"/>
          <w:szCs w:val="24"/>
        </w:rPr>
        <w:t>металургійному - 3 підприємства</w:t>
      </w:r>
      <w:r w:rsidRPr="00AA05C1">
        <w:rPr>
          <w:rFonts w:ascii="Times New Roman" w:hAnsi="Times New Roman" w:cs="Times New Roman"/>
          <w:sz w:val="24"/>
          <w:szCs w:val="24"/>
        </w:rPr>
        <w:t xml:space="preserve">, машинобудуванні - </w:t>
      </w:r>
      <w:r w:rsidRPr="00AA05C1">
        <w:rPr>
          <w:rFonts w:ascii="Times New Roman" w:hAnsi="Times New Roman" w:cs="Times New Roman"/>
          <w:sz w:val="24"/>
          <w:szCs w:val="24"/>
        </w:rPr>
        <w:lastRenderedPageBreak/>
        <w:t xml:space="preserve">10, промисловості будівельних матеріалів - 4, легкій промисловості - 2, інших підприємствах </w:t>
      </w:r>
      <w:proofErr w:type="spellStart"/>
      <w:r>
        <w:rPr>
          <w:rFonts w:ascii="Times New Roman" w:hAnsi="Times New Roman" w:cs="Times New Roman"/>
          <w:sz w:val="24"/>
          <w:szCs w:val="24"/>
        </w:rPr>
        <w:t>товаровиробничого</w:t>
      </w:r>
      <w:proofErr w:type="spellEnd"/>
      <w:r>
        <w:rPr>
          <w:rFonts w:ascii="Times New Roman" w:hAnsi="Times New Roman" w:cs="Times New Roman"/>
          <w:sz w:val="24"/>
          <w:szCs w:val="24"/>
        </w:rPr>
        <w:t xml:space="preserve"> комплексу - 4</w:t>
      </w:r>
      <w:r w:rsidRPr="00AA05C1">
        <w:rPr>
          <w:rFonts w:ascii="Times New Roman" w:hAnsi="Times New Roman" w:cs="Times New Roman"/>
          <w:sz w:val="24"/>
          <w:szCs w:val="24"/>
        </w:rPr>
        <w:t xml:space="preserve">. </w:t>
      </w:r>
    </w:p>
    <w:p w:rsidR="00AA05C1" w:rsidRPr="00AA05C1" w:rsidRDefault="00AA05C1" w:rsidP="00FE6B96">
      <w:pPr>
        <w:pStyle w:val="a7"/>
        <w:shd w:val="clear" w:color="auto" w:fill="auto"/>
        <w:spacing w:before="0" w:line="276" w:lineRule="auto"/>
        <w:ind w:left="20" w:right="20" w:firstLine="688"/>
        <w:jc w:val="both"/>
        <w:rPr>
          <w:rFonts w:ascii="Times New Roman" w:hAnsi="Times New Roman" w:cs="Times New Roman"/>
          <w:sz w:val="24"/>
          <w:szCs w:val="24"/>
        </w:rPr>
      </w:pPr>
      <w:r w:rsidRPr="00AA05C1">
        <w:rPr>
          <w:rFonts w:ascii="Times New Roman" w:hAnsi="Times New Roman" w:cs="Times New Roman"/>
          <w:sz w:val="24"/>
          <w:szCs w:val="24"/>
        </w:rPr>
        <w:t>Промислові підприємства є основними роботодавцями в регіоні. Близько половини з понад 100 тис. осіб штатних працівників, працюючих в Краматорському районі, було зайнято</w:t>
      </w:r>
      <w:r w:rsidR="00C65BCB">
        <w:rPr>
          <w:rFonts w:ascii="Times New Roman" w:hAnsi="Times New Roman" w:cs="Times New Roman"/>
          <w:sz w:val="24"/>
          <w:szCs w:val="24"/>
        </w:rPr>
        <w:t xml:space="preserve"> в промисловому секторі. В Костянтинівс</w:t>
      </w:r>
      <w:r w:rsidRPr="00AA05C1">
        <w:rPr>
          <w:rFonts w:ascii="Times New Roman" w:hAnsi="Times New Roman" w:cs="Times New Roman"/>
          <w:sz w:val="24"/>
          <w:szCs w:val="24"/>
        </w:rPr>
        <w:t>ькій міській</w:t>
      </w:r>
      <w:r w:rsidR="00C65BCB">
        <w:rPr>
          <w:rFonts w:ascii="Times New Roman" w:hAnsi="Times New Roman" w:cs="Times New Roman"/>
          <w:sz w:val="24"/>
          <w:szCs w:val="24"/>
        </w:rPr>
        <w:t xml:space="preserve"> </w:t>
      </w:r>
      <w:r w:rsidRPr="00AA05C1">
        <w:rPr>
          <w:rFonts w:ascii="Times New Roman" w:hAnsi="Times New Roman" w:cs="Times New Roman"/>
          <w:sz w:val="24"/>
          <w:szCs w:val="24"/>
        </w:rPr>
        <w:t>територіальній громаді ситуація аналогічна: більшість жителів працюють в промисловому секторі, в ряді випадків - приїжджаючи до міста з оточуючих сіл. Статистичні дані по Донецькій області вказують, що чисельність чоловіків, які працюють в промисло</w:t>
      </w:r>
      <w:r w:rsidR="001737AD">
        <w:rPr>
          <w:rFonts w:ascii="Times New Roman" w:hAnsi="Times New Roman" w:cs="Times New Roman"/>
          <w:sz w:val="24"/>
          <w:szCs w:val="24"/>
        </w:rPr>
        <w:t>вому секторі</w:t>
      </w:r>
      <w:r w:rsidRPr="00AA05C1">
        <w:rPr>
          <w:rFonts w:ascii="Times New Roman" w:hAnsi="Times New Roman" w:cs="Times New Roman"/>
          <w:sz w:val="24"/>
          <w:szCs w:val="24"/>
        </w:rPr>
        <w:t xml:space="preserve"> вдвічі більша, ніж жінок. Відповідної розбивки по Краматорському району та громаді немає. Превалювання тут машинобудівн</w:t>
      </w:r>
      <w:r w:rsidR="001737AD">
        <w:rPr>
          <w:rFonts w:ascii="Times New Roman" w:hAnsi="Times New Roman" w:cs="Times New Roman"/>
          <w:sz w:val="24"/>
          <w:szCs w:val="24"/>
        </w:rPr>
        <w:t>их та металургійних підприємств</w:t>
      </w:r>
      <w:r w:rsidRPr="00AA05C1">
        <w:rPr>
          <w:rFonts w:ascii="Times New Roman" w:hAnsi="Times New Roman" w:cs="Times New Roman"/>
          <w:sz w:val="24"/>
          <w:szCs w:val="24"/>
        </w:rPr>
        <w:t xml:space="preserve"> дозволяє припустити, що співвідношення між чоловіками і жінками, зайнятими в промисловому секторі району та громаді, приблизно таке ж саме.</w:t>
      </w:r>
    </w:p>
    <w:p w:rsidR="00C65BCB" w:rsidRDefault="00AA05C1" w:rsidP="00FE6B96">
      <w:pPr>
        <w:pStyle w:val="a7"/>
        <w:shd w:val="clear" w:color="auto" w:fill="auto"/>
        <w:spacing w:before="0" w:line="276" w:lineRule="auto"/>
        <w:ind w:left="20" w:right="20" w:firstLine="688"/>
        <w:jc w:val="both"/>
        <w:rPr>
          <w:rFonts w:ascii="Times New Roman" w:hAnsi="Times New Roman" w:cs="Times New Roman"/>
          <w:sz w:val="24"/>
          <w:szCs w:val="24"/>
        </w:rPr>
      </w:pPr>
      <w:r w:rsidRPr="00AA05C1">
        <w:rPr>
          <w:rFonts w:ascii="Times New Roman" w:hAnsi="Times New Roman" w:cs="Times New Roman"/>
          <w:sz w:val="24"/>
          <w:szCs w:val="24"/>
        </w:rPr>
        <w:t xml:space="preserve">Промислова та ряд супутніх сфер чинять тиск на екологію Донецької області в цілому і Краматорського району зокрема. Разом з тим, ситуація з забрудненням повітря, води та наявністю небезпечних підприємств тут дещо краща, ніж в цілому по області. В Регіональній доповіді про стан навколишнього природного середовища Донецької області за 2019 рік, серед 16 провідних підприємств </w:t>
      </w:r>
      <w:r w:rsidR="001737AD">
        <w:rPr>
          <w:rFonts w:ascii="Times New Roman" w:hAnsi="Times New Roman" w:cs="Times New Roman"/>
          <w:sz w:val="24"/>
          <w:szCs w:val="24"/>
        </w:rPr>
        <w:t>–</w:t>
      </w:r>
      <w:r w:rsidRPr="00AA05C1">
        <w:rPr>
          <w:rFonts w:ascii="Times New Roman" w:hAnsi="Times New Roman" w:cs="Times New Roman"/>
          <w:sz w:val="24"/>
          <w:szCs w:val="24"/>
        </w:rPr>
        <w:t xml:space="preserve"> основних</w:t>
      </w:r>
      <w:r w:rsidR="001737AD">
        <w:rPr>
          <w:rFonts w:ascii="Times New Roman" w:hAnsi="Times New Roman" w:cs="Times New Roman"/>
          <w:sz w:val="24"/>
          <w:szCs w:val="24"/>
        </w:rPr>
        <w:t xml:space="preserve"> </w:t>
      </w:r>
      <w:r w:rsidRPr="00AA05C1">
        <w:rPr>
          <w:rFonts w:ascii="Times New Roman" w:hAnsi="Times New Roman" w:cs="Times New Roman"/>
          <w:sz w:val="24"/>
          <w:szCs w:val="24"/>
        </w:rPr>
        <w:t xml:space="preserve">і забруднювачів атмосферного повітря, вказано лише одне, яке розташоване на території </w:t>
      </w:r>
      <w:r w:rsidR="001737AD" w:rsidRPr="00AA05C1">
        <w:rPr>
          <w:rFonts w:ascii="Times New Roman" w:hAnsi="Times New Roman" w:cs="Times New Roman"/>
          <w:sz w:val="24"/>
          <w:szCs w:val="24"/>
        </w:rPr>
        <w:t>Краматорського</w:t>
      </w:r>
      <w:r w:rsidRPr="00AA05C1">
        <w:rPr>
          <w:rFonts w:ascii="Times New Roman" w:hAnsi="Times New Roman" w:cs="Times New Roman"/>
          <w:sz w:val="24"/>
          <w:szCs w:val="24"/>
        </w:rPr>
        <w:t xml:space="preserve"> району - Слов'янська ТЕС. Динаміка викидів забруднюючих речовин в атмосферне повітря від стаціонарних джерел забруднення у населених пунктах Краматорського району є низькою, порівняно з такими містами, як Маріуполь (330,1 тис. т в 2019 р.), Покровськ (53,8 тис. т), Добропілля (28,9 тис. т) або Вугледар (28,6 тис. т). Для порівняння: Краматорськ (6,9 тис. т), Слов'янськ (0,45 тис. т), Дружківка (0.5 тис. т), Костянтинівка(0,3 тис. т) та Лиман (0,19 тис. т). Показники забруднення повітря в Краматорському районі в 2017-2019 рр. коливаються в межах статистичної похибки. Певне зростання спостерігається лише в Краматорську. На показники викидів мають вплив як економічна ситуація і зменшення кількості замовлень по більшості підприємств після початку військового конфлікту, так і ряд заходів, які вживають власники щодо зменшення тиску на екологію. </w:t>
      </w:r>
    </w:p>
    <w:p w:rsidR="0067580E" w:rsidRDefault="001737AD" w:rsidP="00FE6B96">
      <w:pPr>
        <w:pStyle w:val="a7"/>
        <w:shd w:val="clear" w:color="auto" w:fill="auto"/>
        <w:spacing w:before="0" w:line="276" w:lineRule="auto"/>
        <w:ind w:left="20" w:right="20" w:firstLine="688"/>
        <w:jc w:val="both"/>
        <w:rPr>
          <w:rFonts w:ascii="Times New Roman" w:hAnsi="Times New Roman" w:cs="Times New Roman"/>
          <w:sz w:val="24"/>
          <w:szCs w:val="24"/>
        </w:rPr>
      </w:pPr>
      <w:r>
        <w:rPr>
          <w:rFonts w:ascii="Times New Roman" w:hAnsi="Times New Roman" w:cs="Times New Roman"/>
          <w:sz w:val="24"/>
          <w:szCs w:val="24"/>
        </w:rPr>
        <w:t>В 2020 році</w:t>
      </w:r>
      <w:r w:rsidR="00AA05C1" w:rsidRPr="00AA05C1">
        <w:rPr>
          <w:rFonts w:ascii="Times New Roman" w:hAnsi="Times New Roman" w:cs="Times New Roman"/>
          <w:sz w:val="24"/>
          <w:szCs w:val="24"/>
        </w:rPr>
        <w:t xml:space="preserve"> на діяльності промислового комплексу негативно позначилися: загальноукраїнська спадна економічна динаміка, тенденція до якої проявилася ще на п</w:t>
      </w:r>
      <w:r>
        <w:rPr>
          <w:rFonts w:ascii="Times New Roman" w:hAnsi="Times New Roman" w:cs="Times New Roman"/>
          <w:sz w:val="24"/>
          <w:szCs w:val="24"/>
        </w:rPr>
        <w:t>очатку 2020 року</w:t>
      </w:r>
      <w:r w:rsidR="00C65BCB">
        <w:rPr>
          <w:rFonts w:ascii="Times New Roman" w:hAnsi="Times New Roman" w:cs="Times New Roman"/>
          <w:sz w:val="24"/>
          <w:szCs w:val="24"/>
        </w:rPr>
        <w:t xml:space="preserve"> та пандемія С</w:t>
      </w:r>
      <w:r w:rsidR="00C65BCB">
        <w:rPr>
          <w:rFonts w:ascii="Times New Roman" w:hAnsi="Times New Roman" w:cs="Times New Roman"/>
          <w:sz w:val="24"/>
          <w:szCs w:val="24"/>
          <w:lang w:val="en-US"/>
        </w:rPr>
        <w:t>OVID</w:t>
      </w:r>
      <w:r>
        <w:rPr>
          <w:rFonts w:ascii="Times New Roman" w:hAnsi="Times New Roman" w:cs="Times New Roman"/>
          <w:sz w:val="24"/>
          <w:szCs w:val="24"/>
        </w:rPr>
        <w:t>-</w:t>
      </w:r>
      <w:r w:rsidR="00AA05C1" w:rsidRPr="00AA05C1">
        <w:rPr>
          <w:rFonts w:ascii="Times New Roman" w:hAnsi="Times New Roman" w:cs="Times New Roman"/>
          <w:sz w:val="24"/>
          <w:szCs w:val="24"/>
        </w:rPr>
        <w:t>19. За попередньою інформацією спад промислового виробництва по Донецькій області становив близько 4% у річному вимірі. Враховуючи несприятливі прогнози п</w:t>
      </w:r>
      <w:r>
        <w:rPr>
          <w:rFonts w:ascii="Times New Roman" w:hAnsi="Times New Roman" w:cs="Times New Roman"/>
          <w:sz w:val="24"/>
          <w:szCs w:val="24"/>
        </w:rPr>
        <w:t>ро припинення пандемії в 2021 році</w:t>
      </w:r>
      <w:r w:rsidR="00AA05C1" w:rsidRPr="00AA05C1">
        <w:rPr>
          <w:rFonts w:ascii="Times New Roman" w:hAnsi="Times New Roman" w:cs="Times New Roman"/>
          <w:sz w:val="24"/>
          <w:szCs w:val="24"/>
        </w:rPr>
        <w:t xml:space="preserve"> та проблеми з вакцинацією в світі, негативна тенденція може зберегтися і в </w:t>
      </w:r>
      <w:r w:rsidR="00FE6B96">
        <w:rPr>
          <w:rFonts w:ascii="Times New Roman" w:hAnsi="Times New Roman" w:cs="Times New Roman"/>
          <w:sz w:val="24"/>
          <w:szCs w:val="24"/>
        </w:rPr>
        <w:t>поточному році,</w:t>
      </w:r>
      <w:r w:rsidR="00AA05C1" w:rsidRPr="00AA05C1">
        <w:rPr>
          <w:rFonts w:ascii="Times New Roman" w:hAnsi="Times New Roman" w:cs="Times New Roman"/>
          <w:sz w:val="24"/>
          <w:szCs w:val="24"/>
        </w:rPr>
        <w:t xml:space="preserve"> що позначиться як на наповненні бюджетів громад, так і на пропозиції нових робочих місць в промисловому секторі. </w:t>
      </w:r>
    </w:p>
    <w:p w:rsidR="0067580E" w:rsidRPr="0067580E" w:rsidRDefault="0067580E" w:rsidP="00FE6B96">
      <w:pPr>
        <w:pStyle w:val="a7"/>
        <w:shd w:val="clear" w:color="auto" w:fill="auto"/>
        <w:spacing w:before="0" w:after="108" w:line="276" w:lineRule="auto"/>
        <w:ind w:left="20" w:right="20" w:firstLine="688"/>
        <w:jc w:val="both"/>
        <w:rPr>
          <w:rFonts w:ascii="Times New Roman" w:hAnsi="Times New Roman" w:cs="Times New Roman"/>
          <w:sz w:val="24"/>
          <w:szCs w:val="24"/>
        </w:rPr>
      </w:pPr>
      <w:r w:rsidRPr="0067580E">
        <w:rPr>
          <w:rFonts w:ascii="Times New Roman" w:hAnsi="Times New Roman" w:cs="Times New Roman"/>
          <w:sz w:val="24"/>
          <w:szCs w:val="24"/>
        </w:rPr>
        <w:t xml:space="preserve">За даними Державної служби статистики України у Донецькій області станом </w:t>
      </w:r>
      <w:r>
        <w:rPr>
          <w:rFonts w:ascii="Times New Roman" w:hAnsi="Times New Roman" w:cs="Times New Roman"/>
          <w:sz w:val="24"/>
          <w:szCs w:val="24"/>
        </w:rPr>
        <w:t xml:space="preserve">                     на 01 січня 2021</w:t>
      </w:r>
      <w:r w:rsidRPr="0067580E">
        <w:rPr>
          <w:rFonts w:ascii="Times New Roman" w:hAnsi="Times New Roman" w:cs="Times New Roman"/>
          <w:sz w:val="24"/>
          <w:szCs w:val="24"/>
        </w:rPr>
        <w:t xml:space="preserve"> року налічувалось 578 (або 5,6% від загальної кількості підприє</w:t>
      </w:r>
      <w:r w:rsidR="00FE6B96">
        <w:rPr>
          <w:rFonts w:ascii="Times New Roman" w:hAnsi="Times New Roman" w:cs="Times New Roman"/>
          <w:sz w:val="24"/>
          <w:szCs w:val="24"/>
        </w:rPr>
        <w:t>мств) - середні підприємства; 9</w:t>
      </w:r>
      <w:r w:rsidRPr="0067580E">
        <w:rPr>
          <w:rFonts w:ascii="Times New Roman" w:hAnsi="Times New Roman" w:cs="Times New Roman"/>
          <w:sz w:val="24"/>
          <w:szCs w:val="24"/>
        </w:rPr>
        <w:t>691 (або 94,1%) - малі підприємства, з них 8384 (або 81,4%) - мікропідприємства. При цьому у порівнянні з 2018 роком кількість малих підприємств збільшилась на 5,3%, кількість середніх підприємств - на 14,9%. На мале і середнє підприємництво припадає значна частка зайнятості у регіоні. При цьому питома вага зайнятих у цьому сегменті економіки поступ</w:t>
      </w:r>
      <w:r w:rsidR="00FE6B96">
        <w:rPr>
          <w:rFonts w:ascii="Times New Roman" w:hAnsi="Times New Roman" w:cs="Times New Roman"/>
          <w:sz w:val="24"/>
          <w:szCs w:val="24"/>
        </w:rPr>
        <w:t>ово зростає - з 2015 по 2019 роки</w:t>
      </w:r>
      <w:r w:rsidRPr="0067580E">
        <w:rPr>
          <w:rFonts w:ascii="Times New Roman" w:hAnsi="Times New Roman" w:cs="Times New Roman"/>
          <w:sz w:val="24"/>
          <w:szCs w:val="24"/>
        </w:rPr>
        <w:t xml:space="preserve"> вона збільшилась з 57,8% до 75,5%.</w:t>
      </w:r>
    </w:p>
    <w:p w:rsidR="0067580E" w:rsidRPr="0067580E" w:rsidRDefault="0067580E" w:rsidP="00FE6B96">
      <w:pPr>
        <w:pStyle w:val="a7"/>
        <w:shd w:val="clear" w:color="auto" w:fill="auto"/>
        <w:spacing w:before="0" w:after="124" w:line="276" w:lineRule="auto"/>
        <w:ind w:left="20" w:firstLine="360"/>
        <w:jc w:val="both"/>
        <w:rPr>
          <w:rFonts w:ascii="Times New Roman" w:hAnsi="Times New Roman" w:cs="Times New Roman"/>
          <w:sz w:val="24"/>
          <w:szCs w:val="24"/>
        </w:rPr>
      </w:pPr>
      <w:r>
        <w:rPr>
          <w:rFonts w:ascii="Times New Roman" w:hAnsi="Times New Roman" w:cs="Times New Roman"/>
          <w:sz w:val="24"/>
          <w:szCs w:val="24"/>
        </w:rPr>
        <w:t>В Костянтин</w:t>
      </w:r>
      <w:r w:rsidRPr="0067580E">
        <w:rPr>
          <w:rFonts w:ascii="Times New Roman" w:hAnsi="Times New Roman" w:cs="Times New Roman"/>
          <w:sz w:val="24"/>
          <w:szCs w:val="24"/>
        </w:rPr>
        <w:t xml:space="preserve">івській громаді, у місті налічується </w:t>
      </w:r>
      <w:r>
        <w:rPr>
          <w:rFonts w:ascii="Times New Roman" w:hAnsi="Times New Roman" w:cs="Times New Roman"/>
          <w:sz w:val="24"/>
          <w:szCs w:val="24"/>
        </w:rPr>
        <w:t>2806</w:t>
      </w:r>
      <w:r w:rsidRPr="0067580E">
        <w:rPr>
          <w:rFonts w:ascii="Times New Roman" w:hAnsi="Times New Roman" w:cs="Times New Roman"/>
          <w:sz w:val="24"/>
          <w:szCs w:val="24"/>
        </w:rPr>
        <w:t xml:space="preserve"> суб'єктів малого і середнього підприємництва, із них:</w:t>
      </w:r>
    </w:p>
    <w:p w:rsidR="0067580E" w:rsidRDefault="0067580E" w:rsidP="00FE6B96">
      <w:pPr>
        <w:pStyle w:val="a7"/>
        <w:numPr>
          <w:ilvl w:val="0"/>
          <w:numId w:val="1"/>
        </w:numPr>
        <w:shd w:val="clear" w:color="auto" w:fill="auto"/>
        <w:tabs>
          <w:tab w:val="left" w:pos="745"/>
        </w:tabs>
        <w:spacing w:before="0" w:after="4" w:line="276" w:lineRule="auto"/>
        <w:ind w:left="380" w:firstLine="0"/>
        <w:rPr>
          <w:rFonts w:ascii="Times New Roman" w:hAnsi="Times New Roman" w:cs="Times New Roman"/>
          <w:sz w:val="24"/>
          <w:szCs w:val="24"/>
        </w:rPr>
      </w:pPr>
      <w:r>
        <w:rPr>
          <w:rFonts w:ascii="Times New Roman" w:hAnsi="Times New Roman" w:cs="Times New Roman"/>
          <w:sz w:val="24"/>
          <w:szCs w:val="24"/>
        </w:rPr>
        <w:t xml:space="preserve"> середніх </w:t>
      </w:r>
      <w:r w:rsidR="00FE6B96">
        <w:rPr>
          <w:rFonts w:ascii="Times New Roman" w:hAnsi="Times New Roman" w:cs="Times New Roman"/>
          <w:sz w:val="24"/>
          <w:szCs w:val="24"/>
        </w:rPr>
        <w:t xml:space="preserve">- </w:t>
      </w:r>
      <w:r>
        <w:rPr>
          <w:rFonts w:ascii="Times New Roman" w:hAnsi="Times New Roman" w:cs="Times New Roman"/>
          <w:sz w:val="24"/>
          <w:szCs w:val="24"/>
        </w:rPr>
        <w:t xml:space="preserve">17, малих </w:t>
      </w:r>
      <w:r w:rsidR="00FE6B96">
        <w:rPr>
          <w:rFonts w:ascii="Times New Roman" w:hAnsi="Times New Roman" w:cs="Times New Roman"/>
          <w:sz w:val="24"/>
          <w:szCs w:val="24"/>
        </w:rPr>
        <w:t xml:space="preserve">- </w:t>
      </w:r>
      <w:r>
        <w:rPr>
          <w:rFonts w:ascii="Times New Roman" w:hAnsi="Times New Roman" w:cs="Times New Roman"/>
          <w:sz w:val="24"/>
          <w:szCs w:val="24"/>
        </w:rPr>
        <w:t>493</w:t>
      </w:r>
      <w:r w:rsidRPr="0067580E">
        <w:rPr>
          <w:rFonts w:ascii="Times New Roman" w:hAnsi="Times New Roman" w:cs="Times New Roman"/>
          <w:sz w:val="24"/>
          <w:szCs w:val="24"/>
        </w:rPr>
        <w:t>;</w:t>
      </w:r>
    </w:p>
    <w:p w:rsidR="0067580E" w:rsidRPr="0067580E" w:rsidRDefault="0067580E" w:rsidP="00FE6B96">
      <w:pPr>
        <w:pStyle w:val="a7"/>
        <w:shd w:val="clear" w:color="auto" w:fill="auto"/>
        <w:tabs>
          <w:tab w:val="left" w:pos="745"/>
        </w:tabs>
        <w:spacing w:before="0" w:after="4" w:line="276" w:lineRule="auto"/>
        <w:ind w:left="380" w:firstLine="0"/>
        <w:rPr>
          <w:rFonts w:ascii="Times New Roman" w:hAnsi="Times New Roman" w:cs="Times New Roman"/>
          <w:sz w:val="24"/>
          <w:szCs w:val="24"/>
        </w:rPr>
      </w:pPr>
    </w:p>
    <w:p w:rsidR="0067580E" w:rsidRPr="0067580E" w:rsidRDefault="0067580E" w:rsidP="00FE6B96">
      <w:pPr>
        <w:pStyle w:val="a7"/>
        <w:numPr>
          <w:ilvl w:val="0"/>
          <w:numId w:val="1"/>
        </w:numPr>
        <w:shd w:val="clear" w:color="auto" w:fill="auto"/>
        <w:tabs>
          <w:tab w:val="left" w:pos="735"/>
        </w:tabs>
        <w:spacing w:before="0" w:after="86" w:line="276" w:lineRule="auto"/>
        <w:ind w:left="380" w:firstLine="0"/>
        <w:rPr>
          <w:rFonts w:ascii="Times New Roman" w:hAnsi="Times New Roman" w:cs="Times New Roman"/>
          <w:sz w:val="24"/>
          <w:szCs w:val="24"/>
        </w:rPr>
      </w:pPr>
      <w:r>
        <w:rPr>
          <w:rFonts w:ascii="Times New Roman" w:hAnsi="Times New Roman" w:cs="Times New Roman"/>
          <w:sz w:val="24"/>
          <w:szCs w:val="24"/>
        </w:rPr>
        <w:t xml:space="preserve">фізичних осіб-підприємців </w:t>
      </w:r>
      <w:r w:rsidR="00FE6B96">
        <w:rPr>
          <w:rFonts w:ascii="Times New Roman" w:hAnsi="Times New Roman" w:cs="Times New Roman"/>
          <w:sz w:val="24"/>
          <w:szCs w:val="24"/>
        </w:rPr>
        <w:t>-</w:t>
      </w:r>
      <w:r>
        <w:rPr>
          <w:rFonts w:ascii="Times New Roman" w:hAnsi="Times New Roman" w:cs="Times New Roman"/>
          <w:sz w:val="24"/>
          <w:szCs w:val="24"/>
        </w:rPr>
        <w:t>2296</w:t>
      </w:r>
      <w:r w:rsidRPr="0067580E">
        <w:rPr>
          <w:rFonts w:ascii="Times New Roman" w:hAnsi="Times New Roman" w:cs="Times New Roman"/>
          <w:sz w:val="24"/>
          <w:szCs w:val="24"/>
        </w:rPr>
        <w:t>.</w:t>
      </w:r>
    </w:p>
    <w:p w:rsidR="00AA05C1" w:rsidRPr="00AA05C1" w:rsidRDefault="00AA05C1" w:rsidP="00FE6B96">
      <w:pPr>
        <w:pStyle w:val="a7"/>
        <w:shd w:val="clear" w:color="auto" w:fill="auto"/>
        <w:spacing w:before="0" w:line="276" w:lineRule="auto"/>
        <w:ind w:left="20" w:right="20" w:firstLine="688"/>
        <w:jc w:val="both"/>
        <w:rPr>
          <w:rFonts w:ascii="Times New Roman" w:hAnsi="Times New Roman" w:cs="Times New Roman"/>
          <w:sz w:val="24"/>
          <w:szCs w:val="24"/>
        </w:rPr>
      </w:pPr>
      <w:r w:rsidRPr="00AA05C1">
        <w:rPr>
          <w:rFonts w:ascii="Times New Roman" w:hAnsi="Times New Roman" w:cs="Times New Roman"/>
          <w:sz w:val="24"/>
          <w:szCs w:val="24"/>
        </w:rPr>
        <w:lastRenderedPageBreak/>
        <w:t>Інфраструктура трансп</w:t>
      </w:r>
      <w:r w:rsidR="00FE6B96">
        <w:rPr>
          <w:rFonts w:ascii="Times New Roman" w:hAnsi="Times New Roman" w:cs="Times New Roman"/>
          <w:sz w:val="24"/>
          <w:szCs w:val="24"/>
        </w:rPr>
        <w:t xml:space="preserve">ортного комплексу </w:t>
      </w:r>
      <w:r w:rsidR="007C23BC">
        <w:rPr>
          <w:rFonts w:ascii="Times New Roman" w:hAnsi="Times New Roman" w:cs="Times New Roman"/>
          <w:sz w:val="24"/>
          <w:szCs w:val="24"/>
        </w:rPr>
        <w:t xml:space="preserve">району </w:t>
      </w:r>
      <w:r w:rsidR="00FE6B96">
        <w:rPr>
          <w:rFonts w:ascii="Times New Roman" w:hAnsi="Times New Roman" w:cs="Times New Roman"/>
          <w:sz w:val="24"/>
          <w:szCs w:val="24"/>
        </w:rPr>
        <w:t>складається зі</w:t>
      </w:r>
      <w:r w:rsidRPr="00AA05C1">
        <w:rPr>
          <w:rFonts w:ascii="Times New Roman" w:hAnsi="Times New Roman" w:cs="Times New Roman"/>
          <w:sz w:val="24"/>
          <w:szCs w:val="24"/>
        </w:rPr>
        <w:t xml:space="preserve"> споруд та обладнання міжміського транспорту (залізничного, автомобільного), мережі зовнішніх відносно громади транспортних артерій, а також </w:t>
      </w:r>
      <w:proofErr w:type="spellStart"/>
      <w:r w:rsidRPr="00AA05C1">
        <w:rPr>
          <w:rFonts w:ascii="Times New Roman" w:hAnsi="Times New Roman" w:cs="Times New Roman"/>
          <w:sz w:val="24"/>
          <w:szCs w:val="24"/>
        </w:rPr>
        <w:t>внутрішньоміської</w:t>
      </w:r>
      <w:proofErr w:type="spellEnd"/>
      <w:r w:rsidRPr="00AA05C1">
        <w:rPr>
          <w:rFonts w:ascii="Times New Roman" w:hAnsi="Times New Roman" w:cs="Times New Roman"/>
          <w:sz w:val="24"/>
          <w:szCs w:val="24"/>
        </w:rPr>
        <w:t xml:space="preserve"> транспортної системи населених пунктів. Територією Донецької області пролягають 3 європейські автомобільні дороги категорії «Е», а саме: автошлях Е40, який з'єднує міста Кале (Франція) та </w:t>
      </w:r>
      <w:proofErr w:type="spellStart"/>
      <w:r w:rsidRPr="00AA05C1">
        <w:rPr>
          <w:rFonts w:ascii="Times New Roman" w:hAnsi="Times New Roman" w:cs="Times New Roman"/>
          <w:sz w:val="24"/>
          <w:szCs w:val="24"/>
        </w:rPr>
        <w:t>Ріддер</w:t>
      </w:r>
      <w:proofErr w:type="spellEnd"/>
      <w:r w:rsidRPr="00AA05C1">
        <w:rPr>
          <w:rFonts w:ascii="Times New Roman" w:hAnsi="Times New Roman" w:cs="Times New Roman"/>
          <w:sz w:val="24"/>
          <w:szCs w:val="24"/>
        </w:rPr>
        <w:t xml:space="preserve"> (Казахстан); автошлях Е50, який з'єднує міста Брест (Франція) та Махачкала (Російська Федерація); автошлях Е58, який з'єднує міста Відень (Австрія) та Ростов-на-Дону (Російська Федерація). Краматорським районом проходить автошлях Е40 (через міс</w:t>
      </w:r>
      <w:r w:rsidR="002E69FA">
        <w:rPr>
          <w:rFonts w:ascii="Times New Roman" w:hAnsi="Times New Roman" w:cs="Times New Roman"/>
          <w:sz w:val="24"/>
          <w:szCs w:val="24"/>
        </w:rPr>
        <w:t>то Слов'янськ), що знаходиться 55</w:t>
      </w:r>
      <w:r w:rsidRPr="00AA05C1">
        <w:rPr>
          <w:rFonts w:ascii="Times New Roman" w:hAnsi="Times New Roman" w:cs="Times New Roman"/>
          <w:sz w:val="24"/>
          <w:szCs w:val="24"/>
        </w:rPr>
        <w:t xml:space="preserve"> км від </w:t>
      </w:r>
      <w:r w:rsidR="002E69FA">
        <w:rPr>
          <w:rFonts w:ascii="Times New Roman" w:hAnsi="Times New Roman" w:cs="Times New Roman"/>
          <w:sz w:val="24"/>
          <w:szCs w:val="24"/>
        </w:rPr>
        <w:t xml:space="preserve">                      м. Костянтинівка</w:t>
      </w:r>
      <w:r w:rsidRPr="00AA05C1">
        <w:rPr>
          <w:rFonts w:ascii="Times New Roman" w:hAnsi="Times New Roman" w:cs="Times New Roman"/>
          <w:sz w:val="24"/>
          <w:szCs w:val="24"/>
        </w:rPr>
        <w:t>. Стан автомобільної дороги в Донецькій області оцінюється на високому рівні якості.</w:t>
      </w:r>
    </w:p>
    <w:p w:rsidR="00AA05C1" w:rsidRPr="00AA05C1" w:rsidRDefault="00AA05C1" w:rsidP="00FE6B96">
      <w:pPr>
        <w:pStyle w:val="a7"/>
        <w:shd w:val="clear" w:color="auto" w:fill="auto"/>
        <w:spacing w:before="0" w:line="276" w:lineRule="auto"/>
        <w:ind w:left="20" w:right="20" w:firstLine="688"/>
        <w:jc w:val="both"/>
        <w:rPr>
          <w:rFonts w:ascii="Times New Roman" w:hAnsi="Times New Roman" w:cs="Times New Roman"/>
          <w:sz w:val="24"/>
          <w:szCs w:val="24"/>
        </w:rPr>
      </w:pPr>
      <w:r w:rsidRPr="00AA05C1">
        <w:rPr>
          <w:rFonts w:ascii="Times New Roman" w:hAnsi="Times New Roman" w:cs="Times New Roman"/>
          <w:sz w:val="24"/>
          <w:szCs w:val="24"/>
        </w:rPr>
        <w:t>Самою громадою проходить автомобільний шлях національного значення Н20 (Слов'янськ - Донецьк - Маріуполь),</w:t>
      </w:r>
      <w:r w:rsidR="009404EE">
        <w:rPr>
          <w:rFonts w:ascii="Times New Roman" w:hAnsi="Times New Roman" w:cs="Times New Roman"/>
          <w:sz w:val="24"/>
          <w:szCs w:val="24"/>
        </w:rPr>
        <w:t xml:space="preserve"> </w:t>
      </w:r>
      <w:r w:rsidRPr="00AA05C1">
        <w:rPr>
          <w:rFonts w:ascii="Times New Roman" w:hAnsi="Times New Roman" w:cs="Times New Roman"/>
          <w:sz w:val="24"/>
          <w:szCs w:val="24"/>
        </w:rPr>
        <w:t xml:space="preserve"> з'єднуючи її з адміністративним центром (Краматорськ) та іншими промисловими містами району: </w:t>
      </w:r>
      <w:r w:rsidR="00C65BCB">
        <w:rPr>
          <w:rFonts w:ascii="Times New Roman" w:hAnsi="Times New Roman" w:cs="Times New Roman"/>
          <w:sz w:val="24"/>
          <w:szCs w:val="24"/>
        </w:rPr>
        <w:t>Дружківка</w:t>
      </w:r>
      <w:r w:rsidRPr="00AA05C1">
        <w:rPr>
          <w:rFonts w:ascii="Times New Roman" w:hAnsi="Times New Roman" w:cs="Times New Roman"/>
          <w:sz w:val="24"/>
          <w:szCs w:val="24"/>
        </w:rPr>
        <w:t>, Слов'янськ. Зазначена автомобільн</w:t>
      </w:r>
      <w:r w:rsidR="00FE6B96">
        <w:rPr>
          <w:rFonts w:ascii="Times New Roman" w:hAnsi="Times New Roman" w:cs="Times New Roman"/>
          <w:sz w:val="24"/>
          <w:szCs w:val="24"/>
        </w:rPr>
        <w:t>а дорога проходить</w:t>
      </w:r>
      <w:r w:rsidR="00C65BCB">
        <w:rPr>
          <w:rFonts w:ascii="Times New Roman" w:hAnsi="Times New Roman" w:cs="Times New Roman"/>
          <w:sz w:val="24"/>
          <w:szCs w:val="24"/>
        </w:rPr>
        <w:t xml:space="preserve"> через Костянтин</w:t>
      </w:r>
      <w:r w:rsidRPr="00AA05C1">
        <w:rPr>
          <w:rFonts w:ascii="Times New Roman" w:hAnsi="Times New Roman" w:cs="Times New Roman"/>
          <w:sz w:val="24"/>
          <w:szCs w:val="24"/>
        </w:rPr>
        <w:t>івку і громаду в цілому</w:t>
      </w:r>
      <w:r w:rsidR="00C65BCB">
        <w:rPr>
          <w:rFonts w:ascii="Times New Roman" w:hAnsi="Times New Roman" w:cs="Times New Roman"/>
          <w:sz w:val="24"/>
          <w:szCs w:val="24"/>
        </w:rPr>
        <w:t>.</w:t>
      </w:r>
    </w:p>
    <w:p w:rsidR="00AA05C1" w:rsidRPr="00AA05C1" w:rsidRDefault="00FE6B96" w:rsidP="00FE6B96">
      <w:pPr>
        <w:pStyle w:val="a7"/>
        <w:shd w:val="clear" w:color="auto" w:fill="auto"/>
        <w:spacing w:before="0" w:line="276" w:lineRule="auto"/>
        <w:ind w:left="20" w:right="20" w:firstLine="688"/>
        <w:jc w:val="both"/>
        <w:rPr>
          <w:rFonts w:ascii="Times New Roman" w:hAnsi="Times New Roman" w:cs="Times New Roman"/>
          <w:sz w:val="24"/>
          <w:szCs w:val="24"/>
        </w:rPr>
      </w:pPr>
      <w:r>
        <w:rPr>
          <w:rFonts w:ascii="Times New Roman" w:hAnsi="Times New Roman" w:cs="Times New Roman"/>
          <w:sz w:val="24"/>
          <w:szCs w:val="24"/>
        </w:rPr>
        <w:t>Телефонним зв'язком охоплені</w:t>
      </w:r>
      <w:r w:rsidR="00AA05C1" w:rsidRPr="00AA05C1">
        <w:rPr>
          <w:rFonts w:ascii="Times New Roman" w:hAnsi="Times New Roman" w:cs="Times New Roman"/>
          <w:sz w:val="24"/>
          <w:szCs w:val="24"/>
        </w:rPr>
        <w:t xml:space="preserve"> всі населені пункти Краматорського району, є автоматичний міжміський зв'язок. Більшість населених пунктів району газифіковано. </w:t>
      </w:r>
      <w:r w:rsidR="0067580E">
        <w:rPr>
          <w:rFonts w:ascii="Times New Roman" w:hAnsi="Times New Roman" w:cs="Times New Roman"/>
          <w:sz w:val="24"/>
          <w:szCs w:val="24"/>
        </w:rPr>
        <w:t xml:space="preserve">                   </w:t>
      </w:r>
      <w:r w:rsidR="00AA05C1" w:rsidRPr="00AA05C1">
        <w:rPr>
          <w:rFonts w:ascii="Times New Roman" w:hAnsi="Times New Roman" w:cs="Times New Roman"/>
          <w:sz w:val="24"/>
          <w:szCs w:val="24"/>
        </w:rPr>
        <w:t xml:space="preserve">Є окремі проблеми з </w:t>
      </w:r>
      <w:proofErr w:type="spellStart"/>
      <w:r w:rsidR="00AA05C1" w:rsidRPr="00AA05C1">
        <w:rPr>
          <w:rFonts w:ascii="Times New Roman" w:hAnsi="Times New Roman" w:cs="Times New Roman"/>
          <w:sz w:val="24"/>
          <w:szCs w:val="24"/>
        </w:rPr>
        <w:t>Інтернет-зв'язком</w:t>
      </w:r>
      <w:proofErr w:type="spellEnd"/>
      <w:r w:rsidR="00AA05C1" w:rsidRPr="00AA05C1">
        <w:rPr>
          <w:rFonts w:ascii="Times New Roman" w:hAnsi="Times New Roman" w:cs="Times New Roman"/>
          <w:sz w:val="24"/>
          <w:szCs w:val="24"/>
        </w:rPr>
        <w:t>.</w:t>
      </w:r>
    </w:p>
    <w:p w:rsidR="00AA05C1" w:rsidRPr="00AA05C1" w:rsidRDefault="00AA05C1" w:rsidP="00FE6B96">
      <w:pPr>
        <w:pStyle w:val="a7"/>
        <w:shd w:val="clear" w:color="auto" w:fill="auto"/>
        <w:spacing w:before="0" w:after="0" w:line="276" w:lineRule="auto"/>
        <w:ind w:firstLine="688"/>
        <w:jc w:val="both"/>
        <w:rPr>
          <w:rFonts w:ascii="Times New Roman" w:hAnsi="Times New Roman" w:cs="Times New Roman"/>
          <w:sz w:val="24"/>
          <w:szCs w:val="24"/>
        </w:rPr>
      </w:pPr>
      <w:r w:rsidRPr="00AA05C1">
        <w:rPr>
          <w:rFonts w:ascii="Times New Roman" w:hAnsi="Times New Roman" w:cs="Times New Roman"/>
          <w:sz w:val="24"/>
          <w:szCs w:val="24"/>
        </w:rPr>
        <w:t>Банківська сис</w:t>
      </w:r>
      <w:r w:rsidR="007C23BC">
        <w:rPr>
          <w:rFonts w:ascii="Times New Roman" w:hAnsi="Times New Roman" w:cs="Times New Roman"/>
          <w:sz w:val="24"/>
          <w:szCs w:val="24"/>
        </w:rPr>
        <w:t xml:space="preserve">тема представлена відділеннями </w:t>
      </w:r>
      <w:r w:rsidRPr="00AA05C1">
        <w:rPr>
          <w:rFonts w:ascii="Times New Roman" w:hAnsi="Times New Roman" w:cs="Times New Roman"/>
          <w:sz w:val="24"/>
          <w:szCs w:val="24"/>
        </w:rPr>
        <w:t xml:space="preserve">АТ </w:t>
      </w:r>
      <w:r w:rsidR="007C23BC">
        <w:rPr>
          <w:rFonts w:ascii="Times New Roman" w:hAnsi="Times New Roman" w:cs="Times New Roman"/>
          <w:sz w:val="24"/>
          <w:szCs w:val="24"/>
        </w:rPr>
        <w:t>«Ощадбанк»</w:t>
      </w:r>
      <w:r w:rsidR="00FE6B96">
        <w:rPr>
          <w:rFonts w:ascii="Times New Roman" w:hAnsi="Times New Roman" w:cs="Times New Roman"/>
          <w:sz w:val="24"/>
          <w:szCs w:val="24"/>
        </w:rPr>
        <w:t>,</w:t>
      </w:r>
      <w:r w:rsidR="007C23BC">
        <w:rPr>
          <w:rFonts w:ascii="Times New Roman" w:hAnsi="Times New Roman" w:cs="Times New Roman"/>
          <w:sz w:val="24"/>
          <w:szCs w:val="24"/>
        </w:rPr>
        <w:t xml:space="preserve"> АТ</w:t>
      </w:r>
      <w:r w:rsidR="00FE6B96">
        <w:rPr>
          <w:rFonts w:ascii="Times New Roman" w:hAnsi="Times New Roman" w:cs="Times New Roman"/>
          <w:sz w:val="24"/>
          <w:szCs w:val="24"/>
        </w:rPr>
        <w:t xml:space="preserve"> КБ «</w:t>
      </w:r>
      <w:proofErr w:type="spellStart"/>
      <w:r w:rsidR="00FE6B96">
        <w:rPr>
          <w:rFonts w:ascii="Times New Roman" w:hAnsi="Times New Roman" w:cs="Times New Roman"/>
          <w:sz w:val="24"/>
          <w:szCs w:val="24"/>
        </w:rPr>
        <w:t>Приват</w:t>
      </w:r>
      <w:r w:rsidRPr="00AA05C1">
        <w:rPr>
          <w:rFonts w:ascii="Times New Roman" w:hAnsi="Times New Roman" w:cs="Times New Roman"/>
          <w:sz w:val="24"/>
          <w:szCs w:val="24"/>
        </w:rPr>
        <w:t>Банк</w:t>
      </w:r>
      <w:proofErr w:type="spellEnd"/>
      <w:r w:rsidRPr="00AA05C1">
        <w:rPr>
          <w:rFonts w:ascii="Times New Roman" w:hAnsi="Times New Roman" w:cs="Times New Roman"/>
          <w:sz w:val="24"/>
          <w:szCs w:val="24"/>
        </w:rPr>
        <w:t xml:space="preserve">», </w:t>
      </w:r>
      <w:r w:rsidR="007C23BC">
        <w:rPr>
          <w:rFonts w:ascii="Times New Roman" w:hAnsi="Times New Roman" w:cs="Times New Roman"/>
          <w:sz w:val="24"/>
          <w:szCs w:val="24"/>
        </w:rPr>
        <w:t>ПАТ «ПУМБ», АТ «</w:t>
      </w:r>
      <w:proofErr w:type="spellStart"/>
      <w:r w:rsidR="007C23BC">
        <w:rPr>
          <w:rFonts w:ascii="Times New Roman" w:hAnsi="Times New Roman" w:cs="Times New Roman"/>
          <w:sz w:val="24"/>
          <w:szCs w:val="24"/>
        </w:rPr>
        <w:t>Райффайзен</w:t>
      </w:r>
      <w:proofErr w:type="spellEnd"/>
      <w:r w:rsidR="007C23BC">
        <w:rPr>
          <w:rFonts w:ascii="Times New Roman" w:hAnsi="Times New Roman" w:cs="Times New Roman"/>
          <w:sz w:val="24"/>
          <w:szCs w:val="24"/>
        </w:rPr>
        <w:t xml:space="preserve"> Банк Аваль» і АТ «</w:t>
      </w:r>
      <w:proofErr w:type="spellStart"/>
      <w:r w:rsidR="007C23BC">
        <w:rPr>
          <w:rFonts w:ascii="Times New Roman" w:hAnsi="Times New Roman" w:cs="Times New Roman"/>
          <w:sz w:val="24"/>
          <w:szCs w:val="24"/>
        </w:rPr>
        <w:t>УкрСибБанк</w:t>
      </w:r>
      <w:proofErr w:type="spellEnd"/>
      <w:r w:rsidR="007C23BC">
        <w:rPr>
          <w:rFonts w:ascii="Times New Roman" w:hAnsi="Times New Roman" w:cs="Times New Roman"/>
          <w:sz w:val="24"/>
          <w:szCs w:val="24"/>
        </w:rPr>
        <w:t>»</w:t>
      </w:r>
      <w:r w:rsidRPr="00AA05C1">
        <w:rPr>
          <w:rFonts w:ascii="Times New Roman" w:hAnsi="Times New Roman" w:cs="Times New Roman"/>
          <w:sz w:val="24"/>
          <w:szCs w:val="24"/>
        </w:rPr>
        <w:t xml:space="preserve">. </w:t>
      </w:r>
      <w:r w:rsidRPr="000A32EF">
        <w:rPr>
          <w:rFonts w:ascii="Times New Roman" w:hAnsi="Times New Roman" w:cs="Times New Roman"/>
          <w:sz w:val="24"/>
          <w:szCs w:val="24"/>
        </w:rPr>
        <w:t xml:space="preserve">Діють </w:t>
      </w:r>
      <w:r w:rsidR="000A32EF" w:rsidRPr="000A32EF">
        <w:rPr>
          <w:rFonts w:ascii="Times New Roman" w:hAnsi="Times New Roman" w:cs="Times New Roman"/>
          <w:sz w:val="24"/>
          <w:szCs w:val="24"/>
        </w:rPr>
        <w:t xml:space="preserve">сервісні центри обслуговування </w:t>
      </w:r>
      <w:r w:rsidR="000A32EF">
        <w:rPr>
          <w:rFonts w:ascii="Times New Roman" w:hAnsi="Times New Roman" w:cs="Times New Roman"/>
          <w:sz w:val="24"/>
          <w:szCs w:val="24"/>
        </w:rPr>
        <w:t>громадян Головного управління</w:t>
      </w:r>
      <w:r w:rsidRPr="000A32EF">
        <w:rPr>
          <w:rFonts w:ascii="Times New Roman" w:hAnsi="Times New Roman" w:cs="Times New Roman"/>
          <w:sz w:val="24"/>
          <w:szCs w:val="24"/>
        </w:rPr>
        <w:t xml:space="preserve"> Пенсійного фонду</w:t>
      </w:r>
      <w:r w:rsidR="000A32EF" w:rsidRPr="000A32EF">
        <w:rPr>
          <w:rFonts w:ascii="Times New Roman" w:hAnsi="Times New Roman" w:cs="Times New Roman"/>
          <w:sz w:val="24"/>
          <w:szCs w:val="24"/>
        </w:rPr>
        <w:t xml:space="preserve"> України в Донецькій області</w:t>
      </w:r>
      <w:r w:rsidRPr="00AA05C1">
        <w:rPr>
          <w:rFonts w:ascii="Times New Roman" w:hAnsi="Times New Roman" w:cs="Times New Roman"/>
          <w:sz w:val="24"/>
          <w:szCs w:val="24"/>
        </w:rPr>
        <w:t>, Державного казначейства, представництва страхових компаній. Промислова спеціалізація регіону обумовлює широке охоплення фінансово-кредитними установами міст і головних садиб громад, але, як правило, спостерігається їхнє незначне представництво у сільській місцевості.</w:t>
      </w:r>
    </w:p>
    <w:p w:rsidR="00433C10" w:rsidRDefault="00C65BCB" w:rsidP="00FE6B96">
      <w:pPr>
        <w:pStyle w:val="a7"/>
        <w:shd w:val="clear" w:color="auto" w:fill="auto"/>
        <w:spacing w:before="0" w:after="0" w:line="276" w:lineRule="auto"/>
        <w:ind w:firstLine="688"/>
        <w:jc w:val="both"/>
        <w:rPr>
          <w:rFonts w:ascii="Times New Roman" w:hAnsi="Times New Roman" w:cs="Times New Roman"/>
          <w:sz w:val="24"/>
          <w:szCs w:val="24"/>
        </w:rPr>
      </w:pPr>
      <w:r>
        <w:rPr>
          <w:rFonts w:ascii="Times New Roman" w:hAnsi="Times New Roman" w:cs="Times New Roman"/>
          <w:sz w:val="24"/>
          <w:szCs w:val="24"/>
        </w:rPr>
        <w:t>У Костянтин</w:t>
      </w:r>
      <w:r w:rsidR="00AA05C1" w:rsidRPr="00AA05C1">
        <w:rPr>
          <w:rFonts w:ascii="Times New Roman" w:hAnsi="Times New Roman" w:cs="Times New Roman"/>
          <w:sz w:val="24"/>
          <w:szCs w:val="24"/>
        </w:rPr>
        <w:t xml:space="preserve">івській громаді працюють </w:t>
      </w:r>
      <w:r w:rsidR="007C23BC">
        <w:rPr>
          <w:rFonts w:ascii="Times New Roman" w:hAnsi="Times New Roman" w:cs="Times New Roman"/>
          <w:sz w:val="24"/>
          <w:szCs w:val="24"/>
        </w:rPr>
        <w:t xml:space="preserve">вищезазначені </w:t>
      </w:r>
      <w:r w:rsidR="00AA05C1" w:rsidRPr="00AA05C1">
        <w:rPr>
          <w:rFonts w:ascii="Times New Roman" w:hAnsi="Times New Roman" w:cs="Times New Roman"/>
          <w:sz w:val="24"/>
          <w:szCs w:val="24"/>
        </w:rPr>
        <w:t xml:space="preserve">відділення банків, розміщені банкомати, однак не у всіх мікрорайонах міста </w:t>
      </w:r>
      <w:r w:rsidR="007C23BC">
        <w:rPr>
          <w:rFonts w:ascii="Times New Roman" w:hAnsi="Times New Roman" w:cs="Times New Roman"/>
          <w:sz w:val="24"/>
          <w:szCs w:val="24"/>
        </w:rPr>
        <w:t>Костянтинівка</w:t>
      </w:r>
      <w:r w:rsidR="00AA05C1" w:rsidRPr="00AA05C1">
        <w:rPr>
          <w:rFonts w:ascii="Times New Roman" w:hAnsi="Times New Roman" w:cs="Times New Roman"/>
          <w:sz w:val="24"/>
          <w:szCs w:val="24"/>
        </w:rPr>
        <w:t xml:space="preserve"> і не в у</w:t>
      </w:r>
      <w:r w:rsidR="00A61914">
        <w:rPr>
          <w:rFonts w:ascii="Times New Roman" w:hAnsi="Times New Roman" w:cs="Times New Roman"/>
          <w:sz w:val="24"/>
          <w:szCs w:val="24"/>
        </w:rPr>
        <w:t xml:space="preserve"> в</w:t>
      </w:r>
      <w:r w:rsidR="00AA05C1" w:rsidRPr="00AA05C1">
        <w:rPr>
          <w:rFonts w:ascii="Times New Roman" w:hAnsi="Times New Roman" w:cs="Times New Roman"/>
          <w:sz w:val="24"/>
          <w:szCs w:val="24"/>
        </w:rPr>
        <w:t xml:space="preserve">сіх населених пунктах. Представники вразливих категорій часто отримують пенсію та соціальні виплати через поштарів Укрпошти або просять рідних чи знайомих знімати гроші та сплачувати певні послуги, що порушує їхнє право на фінансову конфіденційність та підвищує ризик потрапити під вплив фінансових шахраїв. </w:t>
      </w:r>
    </w:p>
    <w:p w:rsidR="00AA05C1" w:rsidRPr="00AA05C1" w:rsidRDefault="00AA05C1" w:rsidP="00FE6B96">
      <w:pPr>
        <w:pStyle w:val="a7"/>
        <w:shd w:val="clear" w:color="auto" w:fill="auto"/>
        <w:spacing w:before="0" w:after="0" w:line="276" w:lineRule="auto"/>
        <w:ind w:firstLine="688"/>
        <w:jc w:val="both"/>
        <w:rPr>
          <w:rFonts w:ascii="Times New Roman" w:hAnsi="Times New Roman" w:cs="Times New Roman"/>
          <w:sz w:val="24"/>
          <w:szCs w:val="24"/>
        </w:rPr>
      </w:pPr>
      <w:r w:rsidRPr="00AA05C1">
        <w:rPr>
          <w:rFonts w:ascii="Times New Roman" w:hAnsi="Times New Roman" w:cs="Times New Roman"/>
          <w:sz w:val="24"/>
          <w:szCs w:val="24"/>
        </w:rPr>
        <w:t>В Донецькій області діє 546 закладів загальної середньої освіти. З них на т</w:t>
      </w:r>
      <w:r w:rsidR="00C65BCB">
        <w:rPr>
          <w:rFonts w:ascii="Times New Roman" w:hAnsi="Times New Roman" w:cs="Times New Roman"/>
          <w:sz w:val="24"/>
          <w:szCs w:val="24"/>
        </w:rPr>
        <w:t>ериторії Костянтинівської громади - 17</w:t>
      </w:r>
      <w:r w:rsidRPr="00AA05C1">
        <w:rPr>
          <w:rFonts w:ascii="Times New Roman" w:hAnsi="Times New Roman" w:cs="Times New Roman"/>
          <w:sz w:val="24"/>
          <w:szCs w:val="24"/>
        </w:rPr>
        <w:t xml:space="preserve">. </w:t>
      </w:r>
    </w:p>
    <w:p w:rsidR="00AA05C1" w:rsidRPr="00AA05C1" w:rsidRDefault="0067580E" w:rsidP="00FE6B96">
      <w:pPr>
        <w:pStyle w:val="a7"/>
        <w:shd w:val="clear" w:color="auto" w:fill="auto"/>
        <w:spacing w:before="0" w:after="0" w:line="276" w:lineRule="auto"/>
        <w:ind w:firstLine="688"/>
        <w:jc w:val="both"/>
        <w:rPr>
          <w:rFonts w:ascii="Times New Roman" w:hAnsi="Times New Roman" w:cs="Times New Roman"/>
          <w:sz w:val="24"/>
          <w:szCs w:val="24"/>
        </w:rPr>
      </w:pPr>
      <w:r>
        <w:rPr>
          <w:rFonts w:ascii="Times New Roman" w:hAnsi="Times New Roman" w:cs="Times New Roman"/>
          <w:sz w:val="24"/>
          <w:szCs w:val="24"/>
        </w:rPr>
        <w:t>На початок 2021</w:t>
      </w:r>
      <w:r w:rsidR="00A61914">
        <w:rPr>
          <w:rFonts w:ascii="Times New Roman" w:hAnsi="Times New Roman" w:cs="Times New Roman"/>
          <w:sz w:val="24"/>
          <w:szCs w:val="24"/>
        </w:rPr>
        <w:t xml:space="preserve"> року</w:t>
      </w:r>
      <w:r w:rsidR="00AA05C1" w:rsidRPr="00AA05C1">
        <w:rPr>
          <w:rFonts w:ascii="Times New Roman" w:hAnsi="Times New Roman" w:cs="Times New Roman"/>
          <w:sz w:val="24"/>
          <w:szCs w:val="24"/>
        </w:rPr>
        <w:t xml:space="preserve"> в област</w:t>
      </w:r>
      <w:r w:rsidR="00A61914">
        <w:rPr>
          <w:rFonts w:ascii="Times New Roman" w:hAnsi="Times New Roman" w:cs="Times New Roman"/>
          <w:sz w:val="24"/>
          <w:szCs w:val="24"/>
        </w:rPr>
        <w:t>і функціонує</w:t>
      </w:r>
      <w:r w:rsidR="00AA05C1" w:rsidRPr="00AA05C1">
        <w:rPr>
          <w:rFonts w:ascii="Times New Roman" w:hAnsi="Times New Roman" w:cs="Times New Roman"/>
          <w:sz w:val="24"/>
          <w:szCs w:val="24"/>
        </w:rPr>
        <w:t xml:space="preserve"> 481 заклад дошкільної освіти </w:t>
      </w:r>
      <w:r w:rsidR="00A61914">
        <w:rPr>
          <w:rFonts w:ascii="Times New Roman" w:hAnsi="Times New Roman" w:cs="Times New Roman"/>
          <w:sz w:val="24"/>
          <w:szCs w:val="24"/>
        </w:rPr>
        <w:t xml:space="preserve">з проєктною потужністю </w:t>
      </w:r>
      <w:r w:rsidR="00AA05C1" w:rsidRPr="00AA05C1">
        <w:rPr>
          <w:rFonts w:ascii="Times New Roman" w:hAnsi="Times New Roman" w:cs="Times New Roman"/>
          <w:sz w:val="24"/>
          <w:szCs w:val="24"/>
        </w:rPr>
        <w:t>50027</w:t>
      </w:r>
      <w:r w:rsidR="00A61914">
        <w:rPr>
          <w:rFonts w:ascii="Times New Roman" w:hAnsi="Times New Roman" w:cs="Times New Roman"/>
          <w:sz w:val="24"/>
          <w:szCs w:val="24"/>
        </w:rPr>
        <w:t xml:space="preserve"> осіб. Фактично </w:t>
      </w:r>
      <w:r w:rsidR="00935BD8">
        <w:rPr>
          <w:rFonts w:ascii="Times New Roman" w:hAnsi="Times New Roman" w:cs="Times New Roman"/>
          <w:sz w:val="24"/>
          <w:szCs w:val="24"/>
        </w:rPr>
        <w:t xml:space="preserve">їх </w:t>
      </w:r>
      <w:r w:rsidR="00A61914">
        <w:rPr>
          <w:rFonts w:ascii="Times New Roman" w:hAnsi="Times New Roman" w:cs="Times New Roman"/>
          <w:sz w:val="24"/>
          <w:szCs w:val="24"/>
        </w:rPr>
        <w:t>відвідує</w:t>
      </w:r>
      <w:r w:rsidR="00AA05C1" w:rsidRPr="00AA05C1">
        <w:rPr>
          <w:rFonts w:ascii="Times New Roman" w:hAnsi="Times New Roman" w:cs="Times New Roman"/>
          <w:sz w:val="24"/>
          <w:szCs w:val="24"/>
        </w:rPr>
        <w:t xml:space="preserve"> 46227 дітей. Безп</w:t>
      </w:r>
      <w:r w:rsidR="00935BD8">
        <w:rPr>
          <w:rFonts w:ascii="Times New Roman" w:hAnsi="Times New Roman" w:cs="Times New Roman"/>
          <w:sz w:val="24"/>
          <w:szCs w:val="24"/>
        </w:rPr>
        <w:t>осередньо в громаді працює</w:t>
      </w:r>
      <w:r>
        <w:rPr>
          <w:rFonts w:ascii="Times New Roman" w:hAnsi="Times New Roman" w:cs="Times New Roman"/>
          <w:sz w:val="24"/>
          <w:szCs w:val="24"/>
        </w:rPr>
        <w:t xml:space="preserve"> </w:t>
      </w:r>
      <w:r w:rsidR="00935BD8">
        <w:rPr>
          <w:rFonts w:ascii="Times New Roman" w:hAnsi="Times New Roman" w:cs="Times New Roman"/>
          <w:sz w:val="24"/>
          <w:szCs w:val="24"/>
        </w:rPr>
        <w:t xml:space="preserve">      </w:t>
      </w:r>
      <w:r>
        <w:rPr>
          <w:rFonts w:ascii="Times New Roman" w:hAnsi="Times New Roman" w:cs="Times New Roman"/>
          <w:sz w:val="24"/>
          <w:szCs w:val="24"/>
        </w:rPr>
        <w:t>26</w:t>
      </w:r>
      <w:r w:rsidR="00935BD8">
        <w:rPr>
          <w:rFonts w:ascii="Times New Roman" w:hAnsi="Times New Roman" w:cs="Times New Roman"/>
          <w:sz w:val="24"/>
          <w:szCs w:val="24"/>
        </w:rPr>
        <w:t xml:space="preserve"> закладів, які відвідують 2341 вихованець.</w:t>
      </w:r>
      <w:r w:rsidR="00AA05C1" w:rsidRPr="00AA05C1">
        <w:rPr>
          <w:rFonts w:ascii="Times New Roman" w:hAnsi="Times New Roman" w:cs="Times New Roman"/>
          <w:sz w:val="24"/>
          <w:szCs w:val="24"/>
        </w:rPr>
        <w:t xml:space="preserve"> </w:t>
      </w:r>
    </w:p>
    <w:p w:rsidR="003A70E9" w:rsidRDefault="003A70E9" w:rsidP="00AA05C1">
      <w:pPr>
        <w:jc w:val="both"/>
        <w:rPr>
          <w:rFonts w:ascii="Times New Roman" w:hAnsi="Times New Roman" w:cs="Times New Roman"/>
          <w:sz w:val="24"/>
          <w:szCs w:val="24"/>
        </w:rPr>
      </w:pPr>
    </w:p>
    <w:p w:rsidR="0067580E" w:rsidRPr="00925E2E" w:rsidRDefault="0067580E" w:rsidP="00925E2E">
      <w:pPr>
        <w:pStyle w:val="40"/>
        <w:keepNext/>
        <w:keepLines/>
        <w:shd w:val="clear" w:color="auto" w:fill="auto"/>
        <w:spacing w:before="0" w:after="75" w:line="220" w:lineRule="exact"/>
        <w:ind w:left="20"/>
        <w:jc w:val="center"/>
        <w:rPr>
          <w:sz w:val="28"/>
          <w:szCs w:val="28"/>
        </w:rPr>
      </w:pPr>
      <w:bookmarkStart w:id="5" w:name="bookmark6"/>
      <w:r w:rsidRPr="00925E2E">
        <w:rPr>
          <w:sz w:val="28"/>
          <w:szCs w:val="28"/>
        </w:rPr>
        <w:t>1.2</w:t>
      </w:r>
      <w:r w:rsidR="00925E2E" w:rsidRPr="00925E2E">
        <w:rPr>
          <w:sz w:val="28"/>
          <w:szCs w:val="28"/>
        </w:rPr>
        <w:t>.</w:t>
      </w:r>
      <w:r w:rsidRPr="00925E2E">
        <w:rPr>
          <w:sz w:val="28"/>
          <w:szCs w:val="28"/>
        </w:rPr>
        <w:t xml:space="preserve"> Населення громади</w:t>
      </w:r>
      <w:bookmarkEnd w:id="5"/>
    </w:p>
    <w:p w:rsidR="0067580E" w:rsidRPr="0067580E" w:rsidRDefault="0067580E" w:rsidP="00925E2E">
      <w:pPr>
        <w:pStyle w:val="40"/>
        <w:keepNext/>
        <w:keepLines/>
        <w:shd w:val="clear" w:color="auto" w:fill="auto"/>
        <w:spacing w:before="0" w:after="75" w:line="220" w:lineRule="exact"/>
        <w:ind w:left="20"/>
        <w:jc w:val="center"/>
        <w:rPr>
          <w:sz w:val="24"/>
          <w:szCs w:val="24"/>
        </w:rPr>
      </w:pPr>
      <w:bookmarkStart w:id="6" w:name="bookmark7"/>
      <w:bookmarkStart w:id="7" w:name="bookmark8"/>
      <w:r w:rsidRPr="0067580E">
        <w:rPr>
          <w:sz w:val="24"/>
          <w:szCs w:val="24"/>
        </w:rPr>
        <w:t>1.2.1</w:t>
      </w:r>
      <w:r w:rsidR="00925E2E">
        <w:rPr>
          <w:sz w:val="24"/>
          <w:szCs w:val="24"/>
        </w:rPr>
        <w:t>.</w:t>
      </w:r>
      <w:r w:rsidRPr="0067580E">
        <w:rPr>
          <w:sz w:val="24"/>
          <w:szCs w:val="24"/>
        </w:rPr>
        <w:t xml:space="preserve"> Демографія</w:t>
      </w:r>
      <w:bookmarkEnd w:id="6"/>
      <w:bookmarkEnd w:id="7"/>
    </w:p>
    <w:p w:rsidR="0067580E" w:rsidRDefault="00433C10" w:rsidP="000F5B98">
      <w:pPr>
        <w:spacing w:after="0"/>
        <w:ind w:firstLine="708"/>
        <w:jc w:val="both"/>
        <w:rPr>
          <w:rFonts w:ascii="Times New Roman" w:hAnsi="Times New Roman" w:cs="Times New Roman"/>
          <w:sz w:val="24"/>
          <w:szCs w:val="24"/>
        </w:rPr>
      </w:pPr>
      <w:r>
        <w:rPr>
          <w:rFonts w:ascii="Times New Roman" w:hAnsi="Times New Roman" w:cs="Times New Roman"/>
          <w:sz w:val="24"/>
          <w:szCs w:val="24"/>
        </w:rPr>
        <w:t>Населення Костянтин</w:t>
      </w:r>
      <w:r w:rsidR="0067580E" w:rsidRPr="0067580E">
        <w:rPr>
          <w:rFonts w:ascii="Times New Roman" w:hAnsi="Times New Roman" w:cs="Times New Roman"/>
          <w:sz w:val="24"/>
          <w:szCs w:val="24"/>
        </w:rPr>
        <w:t>івської міської територіальної громади на</w:t>
      </w:r>
      <w:r w:rsidR="00935BD8">
        <w:rPr>
          <w:rFonts w:ascii="Times New Roman" w:hAnsi="Times New Roman" w:cs="Times New Roman"/>
          <w:sz w:val="24"/>
          <w:szCs w:val="24"/>
        </w:rPr>
        <w:t xml:space="preserve"> кінець 2020 року</w:t>
      </w:r>
      <w:r>
        <w:rPr>
          <w:rFonts w:ascii="Times New Roman" w:hAnsi="Times New Roman" w:cs="Times New Roman"/>
          <w:sz w:val="24"/>
          <w:szCs w:val="24"/>
        </w:rPr>
        <w:t xml:space="preserve"> становило 73814 осіб (з них жінок – 55,7%, чоловіків – 44,3</w:t>
      </w:r>
      <w:r w:rsidR="0067580E" w:rsidRPr="0067580E">
        <w:rPr>
          <w:rFonts w:ascii="Times New Roman" w:hAnsi="Times New Roman" w:cs="Times New Roman"/>
          <w:sz w:val="24"/>
          <w:szCs w:val="24"/>
        </w:rPr>
        <w:t>%). Найбільша кількіс</w:t>
      </w:r>
      <w:r>
        <w:rPr>
          <w:rFonts w:ascii="Times New Roman" w:hAnsi="Times New Roman" w:cs="Times New Roman"/>
          <w:sz w:val="24"/>
          <w:szCs w:val="24"/>
        </w:rPr>
        <w:t>ть мешканців проживає в м. Костянтин</w:t>
      </w:r>
      <w:r w:rsidR="0067580E" w:rsidRPr="0067580E">
        <w:rPr>
          <w:rFonts w:ascii="Times New Roman" w:hAnsi="Times New Roman" w:cs="Times New Roman"/>
          <w:sz w:val="24"/>
          <w:szCs w:val="24"/>
        </w:rPr>
        <w:t xml:space="preserve">івка - </w:t>
      </w:r>
      <w:r>
        <w:rPr>
          <w:rFonts w:ascii="Times New Roman" w:hAnsi="Times New Roman" w:cs="Times New Roman"/>
          <w:sz w:val="24"/>
          <w:szCs w:val="24"/>
        </w:rPr>
        <w:t xml:space="preserve">68792 особи або 93,3 </w:t>
      </w:r>
      <w:r w:rsidR="0067580E" w:rsidRPr="0067580E">
        <w:rPr>
          <w:rFonts w:ascii="Times New Roman" w:hAnsi="Times New Roman" w:cs="Times New Roman"/>
          <w:sz w:val="24"/>
          <w:szCs w:val="24"/>
        </w:rPr>
        <w:t>% від загалу. Решта мешкає в селах і селищах громади.</w:t>
      </w:r>
    </w:p>
    <w:p w:rsidR="00383E11" w:rsidRDefault="009838B6" w:rsidP="00383E11">
      <w:pPr>
        <w:spacing w:after="0"/>
        <w:ind w:firstLine="708"/>
        <w:jc w:val="both"/>
        <w:rPr>
          <w:rStyle w:val="416"/>
          <w:rFonts w:ascii="Times New Roman" w:hAnsi="Times New Roman" w:cs="Times New Roman"/>
          <w:sz w:val="20"/>
          <w:szCs w:val="20"/>
        </w:rPr>
      </w:pPr>
      <w:r w:rsidRPr="009838B6">
        <w:rPr>
          <w:rFonts w:ascii="Times New Roman" w:hAnsi="Times New Roman" w:cs="Times New Roman"/>
          <w:noProof/>
          <w:sz w:val="24"/>
          <w:szCs w:val="24"/>
          <w:lang w:val="ru-RU" w:eastAsia="ru-RU"/>
        </w:rPr>
        <w:lastRenderedPageBreak/>
        <w:drawing>
          <wp:inline distT="0" distB="0" distL="0" distR="0">
            <wp:extent cx="5615940" cy="3444240"/>
            <wp:effectExtent l="19050" t="0" r="22860" b="381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383E11">
        <w:rPr>
          <w:rStyle w:val="416"/>
          <w:rFonts w:ascii="Times New Roman" w:hAnsi="Times New Roman" w:cs="Times New Roman"/>
          <w:sz w:val="20"/>
          <w:szCs w:val="20"/>
        </w:rPr>
        <w:tab/>
      </w:r>
      <w:r w:rsidR="00383E11">
        <w:rPr>
          <w:rStyle w:val="416"/>
          <w:rFonts w:ascii="Times New Roman" w:hAnsi="Times New Roman" w:cs="Times New Roman"/>
          <w:sz w:val="20"/>
          <w:szCs w:val="20"/>
        </w:rPr>
        <w:tab/>
      </w:r>
    </w:p>
    <w:p w:rsidR="009838B6" w:rsidRDefault="00383E11" w:rsidP="00383E11">
      <w:pPr>
        <w:spacing w:after="0" w:line="240" w:lineRule="auto"/>
        <w:ind w:firstLine="708"/>
        <w:jc w:val="both"/>
        <w:rPr>
          <w:rStyle w:val="416"/>
          <w:rFonts w:ascii="Times New Roman" w:hAnsi="Times New Roman" w:cs="Times New Roman"/>
          <w:sz w:val="20"/>
          <w:szCs w:val="20"/>
        </w:rPr>
      </w:pPr>
      <w:r>
        <w:rPr>
          <w:rStyle w:val="416"/>
          <w:rFonts w:ascii="Times New Roman" w:hAnsi="Times New Roman" w:cs="Times New Roman"/>
          <w:sz w:val="20"/>
          <w:szCs w:val="20"/>
        </w:rPr>
        <w:t xml:space="preserve">             </w:t>
      </w:r>
      <w:r w:rsidR="00AC21BE">
        <w:rPr>
          <w:rStyle w:val="416"/>
          <w:rFonts w:ascii="Times New Roman" w:hAnsi="Times New Roman" w:cs="Times New Roman"/>
          <w:sz w:val="20"/>
          <w:szCs w:val="20"/>
        </w:rPr>
        <w:t>Малю</w:t>
      </w:r>
      <w:r w:rsidR="009838B6" w:rsidRPr="00AC21BE">
        <w:rPr>
          <w:rStyle w:val="416"/>
          <w:rFonts w:ascii="Times New Roman" w:hAnsi="Times New Roman" w:cs="Times New Roman"/>
          <w:sz w:val="20"/>
          <w:szCs w:val="20"/>
        </w:rPr>
        <w:t>н</w:t>
      </w:r>
      <w:r w:rsidR="00B12C06" w:rsidRPr="00AC21BE">
        <w:rPr>
          <w:rStyle w:val="416"/>
          <w:rFonts w:ascii="Times New Roman" w:hAnsi="Times New Roman" w:cs="Times New Roman"/>
          <w:sz w:val="20"/>
          <w:szCs w:val="20"/>
        </w:rPr>
        <w:t>ок 5</w:t>
      </w:r>
      <w:r w:rsidR="00935BD8">
        <w:rPr>
          <w:rStyle w:val="416"/>
          <w:rFonts w:ascii="Times New Roman" w:hAnsi="Times New Roman" w:cs="Times New Roman"/>
          <w:b w:val="0"/>
          <w:sz w:val="20"/>
          <w:szCs w:val="20"/>
        </w:rPr>
        <w:t>.</w:t>
      </w:r>
      <w:r w:rsidR="009838B6" w:rsidRPr="00AC21BE">
        <w:rPr>
          <w:rStyle w:val="416"/>
          <w:rFonts w:ascii="Times New Roman" w:hAnsi="Times New Roman" w:cs="Times New Roman"/>
          <w:sz w:val="20"/>
          <w:szCs w:val="20"/>
        </w:rPr>
        <w:t xml:space="preserve"> Чисельність населення Костянтинівської громади станом на 01.01.2021 р.</w:t>
      </w:r>
    </w:p>
    <w:p w:rsidR="00383E11" w:rsidRPr="00383E11" w:rsidRDefault="00383E11" w:rsidP="00383E11">
      <w:pPr>
        <w:spacing w:after="0" w:line="240" w:lineRule="auto"/>
        <w:ind w:firstLine="708"/>
        <w:jc w:val="both"/>
        <w:rPr>
          <w:rFonts w:ascii="Times New Roman" w:hAnsi="Times New Roman" w:cs="Times New Roman"/>
          <w:sz w:val="24"/>
          <w:szCs w:val="24"/>
        </w:rPr>
      </w:pPr>
    </w:p>
    <w:p w:rsidR="00022F12" w:rsidRDefault="009838B6" w:rsidP="000F5B98">
      <w:pPr>
        <w:spacing w:after="0"/>
        <w:ind w:firstLine="708"/>
        <w:jc w:val="both"/>
        <w:rPr>
          <w:rFonts w:ascii="Times New Roman" w:hAnsi="Times New Roman" w:cs="Times New Roman"/>
          <w:sz w:val="24"/>
          <w:szCs w:val="24"/>
        </w:rPr>
      </w:pPr>
      <w:r w:rsidRPr="00383E11">
        <w:rPr>
          <w:rFonts w:ascii="Times New Roman" w:hAnsi="Times New Roman" w:cs="Times New Roman"/>
          <w:sz w:val="24"/>
          <w:szCs w:val="24"/>
        </w:rPr>
        <w:t xml:space="preserve">Як </w:t>
      </w:r>
      <w:r w:rsidR="00383E11" w:rsidRPr="00383E11">
        <w:rPr>
          <w:rFonts w:ascii="Times New Roman" w:hAnsi="Times New Roman" w:cs="Times New Roman"/>
          <w:sz w:val="24"/>
          <w:szCs w:val="24"/>
        </w:rPr>
        <w:t>видно з діаграми</w:t>
      </w:r>
      <w:r w:rsidR="00383E11">
        <w:rPr>
          <w:rFonts w:ascii="Times New Roman" w:hAnsi="Times New Roman" w:cs="Times New Roman"/>
          <w:sz w:val="24"/>
          <w:szCs w:val="24"/>
        </w:rPr>
        <w:t xml:space="preserve"> (мал.5.)</w:t>
      </w:r>
      <w:r w:rsidR="00383E11" w:rsidRPr="00383E11">
        <w:rPr>
          <w:rFonts w:ascii="Times New Roman" w:hAnsi="Times New Roman" w:cs="Times New Roman"/>
          <w:sz w:val="24"/>
          <w:szCs w:val="24"/>
        </w:rPr>
        <w:t>, м. Костянтинівка</w:t>
      </w:r>
      <w:r w:rsidR="00B12C06" w:rsidRPr="00383E11">
        <w:rPr>
          <w:rFonts w:ascii="Times New Roman" w:hAnsi="Times New Roman" w:cs="Times New Roman"/>
          <w:sz w:val="24"/>
          <w:szCs w:val="24"/>
        </w:rPr>
        <w:t xml:space="preserve"> </w:t>
      </w:r>
      <w:r w:rsidRPr="00383E11">
        <w:rPr>
          <w:rFonts w:ascii="Times New Roman" w:hAnsi="Times New Roman" w:cs="Times New Roman"/>
          <w:sz w:val="24"/>
          <w:szCs w:val="24"/>
        </w:rPr>
        <w:t>має певний вплив на формування загальної чисельності мешканців громади.</w:t>
      </w:r>
      <w:r w:rsidRPr="00B12C06">
        <w:rPr>
          <w:rFonts w:ascii="Times New Roman" w:hAnsi="Times New Roman" w:cs="Times New Roman"/>
          <w:sz w:val="24"/>
          <w:szCs w:val="24"/>
        </w:rPr>
        <w:t xml:space="preserve"> Кількість мешканців, зареєстрованих за іншими </w:t>
      </w:r>
      <w:r w:rsidR="00B12C06" w:rsidRPr="00A35001">
        <w:rPr>
          <w:rFonts w:ascii="Times New Roman" w:hAnsi="Times New Roman" w:cs="Times New Roman"/>
          <w:bCs/>
          <w:sz w:val="24"/>
          <w:szCs w:val="24"/>
        </w:rPr>
        <w:t>старостинськими округами</w:t>
      </w:r>
      <w:r w:rsidR="00B12C06">
        <w:rPr>
          <w:rFonts w:ascii="Times New Roman" w:hAnsi="Times New Roman" w:cs="Times New Roman"/>
          <w:sz w:val="24"/>
          <w:szCs w:val="24"/>
        </w:rPr>
        <w:t>, як правило</w:t>
      </w:r>
      <w:r w:rsidR="00935BD8">
        <w:rPr>
          <w:rFonts w:ascii="Times New Roman" w:hAnsi="Times New Roman" w:cs="Times New Roman"/>
          <w:sz w:val="24"/>
          <w:szCs w:val="24"/>
        </w:rPr>
        <w:t>,</w:t>
      </w:r>
      <w:r w:rsidR="00B12C06">
        <w:rPr>
          <w:rFonts w:ascii="Times New Roman" w:hAnsi="Times New Roman" w:cs="Times New Roman"/>
          <w:sz w:val="24"/>
          <w:szCs w:val="24"/>
        </w:rPr>
        <w:t xml:space="preserve"> не перевищує 3 </w:t>
      </w:r>
      <w:r w:rsidRPr="00B12C06">
        <w:rPr>
          <w:rFonts w:ascii="Times New Roman" w:hAnsi="Times New Roman" w:cs="Times New Roman"/>
          <w:sz w:val="24"/>
          <w:szCs w:val="24"/>
        </w:rPr>
        <w:t xml:space="preserve">% осіб. </w:t>
      </w:r>
    </w:p>
    <w:p w:rsidR="00383E11" w:rsidRDefault="00383E11" w:rsidP="000F5B98">
      <w:pPr>
        <w:spacing w:after="0"/>
        <w:ind w:firstLine="708"/>
        <w:jc w:val="both"/>
        <w:rPr>
          <w:rFonts w:ascii="Times New Roman" w:hAnsi="Times New Roman" w:cs="Times New Roman"/>
          <w:sz w:val="24"/>
          <w:szCs w:val="24"/>
        </w:rPr>
      </w:pPr>
    </w:p>
    <w:p w:rsidR="00383E11" w:rsidRPr="00692D03" w:rsidRDefault="00383E11" w:rsidP="000F5B98">
      <w:pPr>
        <w:spacing w:after="0"/>
        <w:ind w:firstLine="708"/>
        <w:jc w:val="both"/>
        <w:rPr>
          <w:rFonts w:ascii="Times New Roman" w:hAnsi="Times New Roman" w:cs="Times New Roman"/>
          <w:sz w:val="24"/>
          <w:szCs w:val="24"/>
        </w:rPr>
      </w:pPr>
    </w:p>
    <w:p w:rsidR="00AC21BE" w:rsidRDefault="00AC21BE" w:rsidP="0067580E">
      <w:pPr>
        <w:ind w:firstLine="708"/>
        <w:jc w:val="both"/>
        <w:rPr>
          <w:rFonts w:ascii="Times New Roman" w:hAnsi="Times New Roman" w:cs="Times New Roman"/>
          <w:sz w:val="24"/>
          <w:szCs w:val="24"/>
          <w:lang w:val="ru-RU"/>
        </w:rPr>
      </w:pPr>
      <w:r w:rsidRPr="00AC21BE">
        <w:rPr>
          <w:rFonts w:ascii="Times New Roman" w:hAnsi="Times New Roman" w:cs="Times New Roman"/>
          <w:noProof/>
          <w:sz w:val="24"/>
          <w:szCs w:val="24"/>
          <w:lang w:val="ru-RU" w:eastAsia="ru-RU"/>
        </w:rPr>
        <w:drawing>
          <wp:inline distT="0" distB="0" distL="0" distR="0">
            <wp:extent cx="6120765" cy="3378603"/>
            <wp:effectExtent l="19050" t="0" r="13335"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C21BE" w:rsidRPr="00383E11" w:rsidRDefault="00AC21BE" w:rsidP="006C0FE4">
      <w:pPr>
        <w:jc w:val="center"/>
        <w:rPr>
          <w:rFonts w:ascii="Times New Roman" w:hAnsi="Times New Roman" w:cs="Times New Roman"/>
          <w:b/>
          <w:sz w:val="20"/>
          <w:szCs w:val="20"/>
        </w:rPr>
      </w:pPr>
      <w:r w:rsidRPr="00383E11">
        <w:rPr>
          <w:rFonts w:ascii="Times New Roman" w:hAnsi="Times New Roman" w:cs="Times New Roman"/>
          <w:b/>
          <w:sz w:val="20"/>
          <w:szCs w:val="20"/>
        </w:rPr>
        <w:t>Малюнок 6</w:t>
      </w:r>
      <w:r w:rsidR="00692D03" w:rsidRPr="00383E11">
        <w:rPr>
          <w:rFonts w:ascii="Times New Roman" w:hAnsi="Times New Roman" w:cs="Times New Roman"/>
          <w:b/>
          <w:sz w:val="20"/>
          <w:szCs w:val="20"/>
        </w:rPr>
        <w:t>.</w:t>
      </w:r>
      <w:r w:rsidRPr="00383E11">
        <w:rPr>
          <w:rFonts w:ascii="Times New Roman" w:hAnsi="Times New Roman" w:cs="Times New Roman"/>
          <w:b/>
          <w:sz w:val="20"/>
          <w:szCs w:val="20"/>
        </w:rPr>
        <w:t xml:space="preserve"> Оцінка зміни чисельності населення Костянтинівської громади за 2016-2020 рр., % до 2016 р.</w:t>
      </w:r>
    </w:p>
    <w:p w:rsidR="006C0FE4" w:rsidRDefault="006C0FE4" w:rsidP="000F5B98">
      <w:pPr>
        <w:spacing w:after="0"/>
        <w:ind w:firstLine="708"/>
        <w:jc w:val="both"/>
        <w:rPr>
          <w:rFonts w:ascii="Times New Roman" w:hAnsi="Times New Roman" w:cs="Times New Roman"/>
          <w:sz w:val="24"/>
          <w:szCs w:val="24"/>
        </w:rPr>
      </w:pPr>
      <w:r w:rsidRPr="006C0FE4">
        <w:rPr>
          <w:rFonts w:ascii="Times New Roman" w:hAnsi="Times New Roman" w:cs="Times New Roman"/>
          <w:sz w:val="24"/>
          <w:szCs w:val="24"/>
        </w:rPr>
        <w:t xml:space="preserve">Чисельність населення громади стабільно скорочується. Як наслідок, порівняно </w:t>
      </w:r>
      <w:r>
        <w:rPr>
          <w:rFonts w:ascii="Times New Roman" w:hAnsi="Times New Roman" w:cs="Times New Roman"/>
          <w:sz w:val="24"/>
          <w:szCs w:val="24"/>
        </w:rPr>
        <w:t xml:space="preserve">                  </w:t>
      </w:r>
      <w:r w:rsidRPr="006C0FE4">
        <w:rPr>
          <w:rFonts w:ascii="Times New Roman" w:hAnsi="Times New Roman" w:cs="Times New Roman"/>
          <w:sz w:val="24"/>
          <w:szCs w:val="24"/>
        </w:rPr>
        <w:t>з 201</w:t>
      </w:r>
      <w:r w:rsidR="00383E11">
        <w:rPr>
          <w:rFonts w:ascii="Times New Roman" w:hAnsi="Times New Roman" w:cs="Times New Roman"/>
          <w:sz w:val="24"/>
          <w:szCs w:val="24"/>
        </w:rPr>
        <w:t>6 роком,</w:t>
      </w:r>
      <w:r>
        <w:rPr>
          <w:rFonts w:ascii="Times New Roman" w:hAnsi="Times New Roman" w:cs="Times New Roman"/>
          <w:sz w:val="24"/>
          <w:szCs w:val="24"/>
        </w:rPr>
        <w:t xml:space="preserve"> втрати мешканців склали 5,8</w:t>
      </w:r>
      <w:r w:rsidRPr="006C0FE4">
        <w:rPr>
          <w:rFonts w:ascii="Times New Roman" w:hAnsi="Times New Roman" w:cs="Times New Roman"/>
          <w:sz w:val="24"/>
          <w:szCs w:val="24"/>
        </w:rPr>
        <w:t>%. Для порівняння, в Донецькій області за цей же період відповідний показник становить 3,4%, в Україні - 2,7%</w:t>
      </w:r>
      <w:r w:rsidR="00E20B86">
        <w:rPr>
          <w:rFonts w:ascii="Times New Roman" w:hAnsi="Times New Roman" w:cs="Times New Roman"/>
          <w:sz w:val="24"/>
          <w:szCs w:val="24"/>
        </w:rPr>
        <w:t>.</w:t>
      </w:r>
    </w:p>
    <w:p w:rsidR="00E20B86" w:rsidRDefault="00E20B86" w:rsidP="006C0FE4">
      <w:pPr>
        <w:ind w:firstLine="708"/>
        <w:jc w:val="both"/>
        <w:rPr>
          <w:rFonts w:ascii="Times New Roman" w:hAnsi="Times New Roman" w:cs="Times New Roman"/>
          <w:sz w:val="24"/>
          <w:szCs w:val="24"/>
        </w:rPr>
      </w:pPr>
      <w:r w:rsidRPr="00E20B86">
        <w:rPr>
          <w:rFonts w:ascii="Times New Roman" w:hAnsi="Times New Roman" w:cs="Times New Roman"/>
          <w:sz w:val="24"/>
          <w:szCs w:val="24"/>
        </w:rPr>
        <w:t>В розрізі вікових категорій структура населення має наступний вигляд</w:t>
      </w:r>
      <w:r>
        <w:rPr>
          <w:rFonts w:ascii="Times New Roman" w:hAnsi="Times New Roman" w:cs="Times New Roman"/>
          <w:sz w:val="24"/>
          <w:szCs w:val="24"/>
        </w:rPr>
        <w:t>:</w:t>
      </w:r>
    </w:p>
    <w:p w:rsidR="00E20B86" w:rsidRDefault="00E20B86" w:rsidP="006C0FE4">
      <w:pPr>
        <w:ind w:firstLine="708"/>
        <w:jc w:val="both"/>
        <w:rPr>
          <w:rFonts w:ascii="Times New Roman" w:hAnsi="Times New Roman" w:cs="Times New Roman"/>
          <w:sz w:val="24"/>
          <w:szCs w:val="24"/>
        </w:rPr>
      </w:pPr>
      <w:r w:rsidRPr="00E20B86">
        <w:rPr>
          <w:rFonts w:ascii="Times New Roman" w:hAnsi="Times New Roman" w:cs="Times New Roman"/>
          <w:noProof/>
          <w:sz w:val="24"/>
          <w:szCs w:val="24"/>
          <w:lang w:val="ru-RU" w:eastAsia="ru-RU"/>
        </w:rPr>
        <w:lastRenderedPageBreak/>
        <w:drawing>
          <wp:inline distT="0" distB="0" distL="0" distR="0">
            <wp:extent cx="5412105" cy="2796540"/>
            <wp:effectExtent l="19050" t="0" r="17145" b="381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20B86" w:rsidRDefault="00E20B86" w:rsidP="006C0FE4">
      <w:pPr>
        <w:ind w:firstLine="708"/>
        <w:jc w:val="both"/>
        <w:rPr>
          <w:rFonts w:ascii="Times New Roman" w:hAnsi="Times New Roman" w:cs="Times New Roman"/>
          <w:b/>
          <w:sz w:val="20"/>
          <w:szCs w:val="20"/>
        </w:rPr>
      </w:pPr>
      <w:r w:rsidRPr="00E20B86">
        <w:rPr>
          <w:rFonts w:ascii="Times New Roman" w:hAnsi="Times New Roman" w:cs="Times New Roman"/>
          <w:b/>
          <w:sz w:val="20"/>
          <w:szCs w:val="20"/>
        </w:rPr>
        <w:t>Малюнок 7 Оцінка структури населення за віком</w:t>
      </w:r>
    </w:p>
    <w:p w:rsidR="00A0003C" w:rsidRPr="00E20B86" w:rsidRDefault="00E20B86" w:rsidP="009404EE">
      <w:pPr>
        <w:pStyle w:val="a7"/>
        <w:shd w:val="clear" w:color="auto" w:fill="auto"/>
        <w:spacing w:before="0" w:after="84" w:line="276" w:lineRule="auto"/>
        <w:ind w:left="20" w:right="20" w:firstLine="688"/>
        <w:jc w:val="both"/>
        <w:rPr>
          <w:rFonts w:ascii="Times New Roman" w:hAnsi="Times New Roman" w:cs="Times New Roman"/>
          <w:sz w:val="24"/>
          <w:szCs w:val="24"/>
        </w:rPr>
      </w:pPr>
      <w:r w:rsidRPr="00E20B86">
        <w:rPr>
          <w:rFonts w:ascii="Times New Roman" w:hAnsi="Times New Roman" w:cs="Times New Roman"/>
          <w:sz w:val="24"/>
          <w:szCs w:val="24"/>
        </w:rPr>
        <w:t>Вікова структура населення громади є дещо іншою, ніж в Донецькій області та Україні. В першу чергу це стосується мешканців у працездатном</w:t>
      </w:r>
      <w:r w:rsidR="00925E2E">
        <w:rPr>
          <w:rFonts w:ascii="Times New Roman" w:hAnsi="Times New Roman" w:cs="Times New Roman"/>
          <w:sz w:val="24"/>
          <w:szCs w:val="24"/>
        </w:rPr>
        <w:t>у віці. Ї</w:t>
      </w:r>
      <w:r w:rsidR="00A0003C">
        <w:rPr>
          <w:rFonts w:ascii="Times New Roman" w:hAnsi="Times New Roman" w:cs="Times New Roman"/>
          <w:sz w:val="24"/>
          <w:szCs w:val="24"/>
        </w:rPr>
        <w:t>хня питома вага у Костянтин</w:t>
      </w:r>
      <w:r w:rsidRPr="00E20B86">
        <w:rPr>
          <w:rFonts w:ascii="Times New Roman" w:hAnsi="Times New Roman" w:cs="Times New Roman"/>
          <w:sz w:val="24"/>
          <w:szCs w:val="24"/>
        </w:rPr>
        <w:t>івській міській т</w:t>
      </w:r>
      <w:r w:rsidR="00A0003C">
        <w:rPr>
          <w:rFonts w:ascii="Times New Roman" w:hAnsi="Times New Roman" w:cs="Times New Roman"/>
          <w:sz w:val="24"/>
          <w:szCs w:val="24"/>
        </w:rPr>
        <w:t xml:space="preserve">ериторіальній громаді складає 56,6 </w:t>
      </w:r>
      <w:r w:rsidRPr="00E20B86">
        <w:rPr>
          <w:rFonts w:ascii="Times New Roman" w:hAnsi="Times New Roman" w:cs="Times New Roman"/>
          <w:sz w:val="24"/>
          <w:szCs w:val="24"/>
        </w:rPr>
        <w:t xml:space="preserve">% від загальної чисельності жителів, в той час, як в Донецькій області цей показник дорівнює </w:t>
      </w:r>
      <w:r w:rsidR="00925E2E">
        <w:rPr>
          <w:rFonts w:ascii="Times New Roman" w:hAnsi="Times New Roman" w:cs="Times New Roman"/>
          <w:sz w:val="24"/>
          <w:szCs w:val="24"/>
        </w:rPr>
        <w:t>57%, в Україні - 58%. Населення</w:t>
      </w:r>
      <w:r w:rsidRPr="00E20B86">
        <w:rPr>
          <w:rFonts w:ascii="Times New Roman" w:hAnsi="Times New Roman" w:cs="Times New Roman"/>
          <w:sz w:val="24"/>
          <w:szCs w:val="24"/>
        </w:rPr>
        <w:t xml:space="preserve"> у віці, молодшому за</w:t>
      </w:r>
      <w:r w:rsidR="00A0003C">
        <w:rPr>
          <w:rFonts w:ascii="Times New Roman" w:hAnsi="Times New Roman" w:cs="Times New Roman"/>
          <w:sz w:val="24"/>
          <w:szCs w:val="24"/>
        </w:rPr>
        <w:t xml:space="preserve"> 18 років</w:t>
      </w:r>
      <w:r w:rsidR="00925E2E">
        <w:rPr>
          <w:rFonts w:ascii="Times New Roman" w:hAnsi="Times New Roman" w:cs="Times New Roman"/>
          <w:sz w:val="24"/>
          <w:szCs w:val="24"/>
        </w:rPr>
        <w:t>,</w:t>
      </w:r>
      <w:r w:rsidR="00A0003C">
        <w:rPr>
          <w:rFonts w:ascii="Times New Roman" w:hAnsi="Times New Roman" w:cs="Times New Roman"/>
          <w:sz w:val="24"/>
          <w:szCs w:val="24"/>
        </w:rPr>
        <w:t xml:space="preserve"> в громаді становить 14,8 </w:t>
      </w:r>
      <w:r w:rsidRPr="00E20B86">
        <w:rPr>
          <w:rFonts w:ascii="Times New Roman" w:hAnsi="Times New Roman" w:cs="Times New Roman"/>
          <w:sz w:val="24"/>
          <w:szCs w:val="24"/>
        </w:rPr>
        <w:t>%, в області - 14%, в Україні - 18%. У віковій категорії 60+ спостерігається наступна си</w:t>
      </w:r>
      <w:r w:rsidR="00A0003C">
        <w:rPr>
          <w:rFonts w:ascii="Times New Roman" w:hAnsi="Times New Roman" w:cs="Times New Roman"/>
          <w:sz w:val="24"/>
          <w:szCs w:val="24"/>
        </w:rPr>
        <w:t xml:space="preserve">туація: в громаді таких людей 28,6 </w:t>
      </w:r>
      <w:r w:rsidRPr="00E20B86">
        <w:rPr>
          <w:rFonts w:ascii="Times New Roman" w:hAnsi="Times New Roman" w:cs="Times New Roman"/>
          <w:sz w:val="24"/>
          <w:szCs w:val="24"/>
        </w:rPr>
        <w:t>%, в області - 29%, в Україні - 24%.</w:t>
      </w:r>
    </w:p>
    <w:p w:rsidR="00E20B86" w:rsidRDefault="00A0003C" w:rsidP="006C0FE4">
      <w:pPr>
        <w:ind w:firstLine="708"/>
        <w:jc w:val="both"/>
        <w:rPr>
          <w:rFonts w:ascii="Times New Roman" w:hAnsi="Times New Roman" w:cs="Times New Roman"/>
          <w:b/>
          <w:sz w:val="20"/>
          <w:szCs w:val="20"/>
        </w:rPr>
      </w:pPr>
      <w:r w:rsidRPr="00A0003C">
        <w:rPr>
          <w:rFonts w:ascii="Times New Roman" w:hAnsi="Times New Roman" w:cs="Times New Roman"/>
          <w:b/>
          <w:noProof/>
          <w:sz w:val="20"/>
          <w:szCs w:val="20"/>
          <w:lang w:val="ru-RU" w:eastAsia="ru-RU"/>
        </w:rPr>
        <w:drawing>
          <wp:inline distT="0" distB="0" distL="0" distR="0">
            <wp:extent cx="5871210" cy="3246120"/>
            <wp:effectExtent l="19050" t="0" r="15240" b="0"/>
            <wp:docPr id="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0003C" w:rsidRDefault="00A0003C" w:rsidP="006C0FE4">
      <w:pPr>
        <w:ind w:firstLine="708"/>
        <w:jc w:val="both"/>
        <w:rPr>
          <w:rFonts w:ascii="Times New Roman" w:hAnsi="Times New Roman" w:cs="Times New Roman"/>
          <w:b/>
          <w:sz w:val="20"/>
          <w:szCs w:val="20"/>
        </w:rPr>
      </w:pPr>
      <w:r>
        <w:rPr>
          <w:rFonts w:ascii="Times New Roman" w:hAnsi="Times New Roman" w:cs="Times New Roman"/>
          <w:b/>
          <w:sz w:val="20"/>
          <w:szCs w:val="20"/>
        </w:rPr>
        <w:t>Малюнок 8</w:t>
      </w:r>
      <w:r w:rsidR="00925E2E">
        <w:rPr>
          <w:rFonts w:ascii="Times New Roman" w:hAnsi="Times New Roman" w:cs="Times New Roman"/>
          <w:b/>
          <w:sz w:val="20"/>
          <w:szCs w:val="20"/>
        </w:rPr>
        <w:t>.</w:t>
      </w:r>
      <w:r>
        <w:rPr>
          <w:rFonts w:ascii="Times New Roman" w:hAnsi="Times New Roman" w:cs="Times New Roman"/>
          <w:b/>
          <w:sz w:val="20"/>
          <w:szCs w:val="20"/>
        </w:rPr>
        <w:t xml:space="preserve"> Оцінка структури населення Костянтинівської громади</w:t>
      </w:r>
      <w:r w:rsidR="000F5B98">
        <w:rPr>
          <w:rFonts w:ascii="Times New Roman" w:hAnsi="Times New Roman" w:cs="Times New Roman"/>
          <w:b/>
          <w:sz w:val="20"/>
          <w:szCs w:val="20"/>
        </w:rPr>
        <w:t xml:space="preserve"> за віком та статтю</w:t>
      </w:r>
    </w:p>
    <w:p w:rsidR="000F5B98" w:rsidRDefault="000F5B98" w:rsidP="00925E2E">
      <w:pPr>
        <w:pStyle w:val="a7"/>
        <w:shd w:val="clear" w:color="auto" w:fill="auto"/>
        <w:spacing w:before="0" w:after="84" w:line="276" w:lineRule="auto"/>
        <w:ind w:left="20" w:right="20" w:firstLine="688"/>
        <w:jc w:val="both"/>
        <w:rPr>
          <w:rFonts w:ascii="Times New Roman" w:hAnsi="Times New Roman" w:cs="Times New Roman"/>
          <w:sz w:val="24"/>
          <w:szCs w:val="24"/>
        </w:rPr>
      </w:pPr>
      <w:r w:rsidRPr="000F5B98">
        <w:rPr>
          <w:rFonts w:ascii="Times New Roman" w:hAnsi="Times New Roman" w:cs="Times New Roman"/>
          <w:sz w:val="24"/>
          <w:szCs w:val="24"/>
        </w:rPr>
        <w:t>В інших вікових групах суттєвої переваги жіночої частини</w:t>
      </w:r>
      <w:r w:rsidR="00925E2E">
        <w:rPr>
          <w:rFonts w:ascii="Times New Roman" w:hAnsi="Times New Roman" w:cs="Times New Roman"/>
          <w:sz w:val="24"/>
          <w:szCs w:val="24"/>
        </w:rPr>
        <w:t xml:space="preserve"> населення не спостерігається. Ї</w:t>
      </w:r>
      <w:r w:rsidRPr="000F5B98">
        <w:rPr>
          <w:rFonts w:ascii="Times New Roman" w:hAnsi="Times New Roman" w:cs="Times New Roman"/>
          <w:sz w:val="24"/>
          <w:szCs w:val="24"/>
        </w:rPr>
        <w:t xml:space="preserve">хня більш висока питома вага серед мешканців пенсійного віку є типовою для всієї України. Проведені дослідження вказують, що гендерна нерівність та стереотипні очікування від жінок і чоловіків, є однією з ключових причин майже 10-річного розриву у очікуваній тривалості життя жінок і чоловіків. На перспективу, громада повинна розглядати можливість залучення населення пенсійного віку до активного життя громади. Особливий акцент слід буде зробити на програмах, які дадуть можливість врахувати перспективи і можливості жінок відповідної </w:t>
      </w:r>
      <w:r w:rsidRPr="000F5B98">
        <w:rPr>
          <w:rFonts w:ascii="Times New Roman" w:hAnsi="Times New Roman" w:cs="Times New Roman"/>
          <w:sz w:val="24"/>
          <w:szCs w:val="24"/>
        </w:rPr>
        <w:lastRenderedPageBreak/>
        <w:t>вікової категорії. Для цього варто впроваджувати програми з гендерної рівності для врахування інтересів, потреб і досвіду жінок і чоловіків, у тому числі з вразливих категорій, реалізовувати проекти, які сприятимуть увазі чоловіків до підтримки фізичного та психічного здоров'я для підтримки тривалості і якості життя</w:t>
      </w:r>
      <w:r>
        <w:rPr>
          <w:rFonts w:ascii="Times New Roman" w:hAnsi="Times New Roman" w:cs="Times New Roman"/>
          <w:sz w:val="24"/>
          <w:szCs w:val="24"/>
        </w:rPr>
        <w:t>.</w:t>
      </w:r>
    </w:p>
    <w:p w:rsidR="00123793" w:rsidRDefault="00123793" w:rsidP="000F5B98">
      <w:pPr>
        <w:pStyle w:val="a7"/>
        <w:shd w:val="clear" w:color="auto" w:fill="auto"/>
        <w:spacing w:before="0" w:after="84" w:line="250" w:lineRule="exact"/>
        <w:ind w:left="20" w:right="20" w:firstLine="688"/>
        <w:jc w:val="both"/>
        <w:rPr>
          <w:rFonts w:ascii="Times New Roman" w:hAnsi="Times New Roman" w:cs="Times New Roman"/>
          <w:sz w:val="24"/>
          <w:szCs w:val="24"/>
        </w:rPr>
      </w:pPr>
    </w:p>
    <w:p w:rsidR="00925E2E" w:rsidRDefault="00925E2E" w:rsidP="00BD6242">
      <w:pPr>
        <w:pStyle w:val="40"/>
        <w:keepNext/>
        <w:keepLines/>
        <w:shd w:val="clear" w:color="auto" w:fill="auto"/>
        <w:spacing w:before="0" w:after="140" w:line="220" w:lineRule="exact"/>
        <w:ind w:left="20"/>
        <w:jc w:val="center"/>
        <w:rPr>
          <w:sz w:val="24"/>
          <w:szCs w:val="24"/>
        </w:rPr>
      </w:pPr>
      <w:bookmarkStart w:id="8" w:name="bookmark12"/>
      <w:bookmarkStart w:id="9" w:name="bookmark13"/>
      <w:r>
        <w:rPr>
          <w:sz w:val="24"/>
          <w:szCs w:val="24"/>
        </w:rPr>
        <w:t>1.2.2.</w:t>
      </w:r>
      <w:r w:rsidR="00123793" w:rsidRPr="00123793">
        <w:rPr>
          <w:sz w:val="24"/>
          <w:szCs w:val="24"/>
        </w:rPr>
        <w:t xml:space="preserve"> Зайнятість населення</w:t>
      </w:r>
      <w:bookmarkEnd w:id="8"/>
      <w:bookmarkEnd w:id="9"/>
    </w:p>
    <w:p w:rsidR="00611D1F" w:rsidRDefault="00611D1F" w:rsidP="00925E2E">
      <w:pPr>
        <w:pStyle w:val="a7"/>
        <w:shd w:val="clear" w:color="auto" w:fill="auto"/>
        <w:spacing w:before="0" w:after="84" w:line="276" w:lineRule="auto"/>
        <w:ind w:left="20" w:right="20" w:firstLine="688"/>
        <w:jc w:val="both"/>
        <w:rPr>
          <w:rFonts w:ascii="Times New Roman" w:hAnsi="Times New Roman" w:cs="Times New Roman"/>
          <w:sz w:val="24"/>
          <w:szCs w:val="24"/>
        </w:rPr>
      </w:pPr>
      <w:r w:rsidRPr="00123793">
        <w:rPr>
          <w:rFonts w:ascii="Times New Roman" w:hAnsi="Times New Roman" w:cs="Times New Roman"/>
          <w:sz w:val="24"/>
          <w:szCs w:val="24"/>
        </w:rPr>
        <w:t xml:space="preserve">Питома вага працездатного населення в </w:t>
      </w:r>
      <w:r w:rsidR="00123793">
        <w:rPr>
          <w:rFonts w:ascii="Times New Roman" w:hAnsi="Times New Roman" w:cs="Times New Roman"/>
          <w:sz w:val="24"/>
          <w:szCs w:val="24"/>
        </w:rPr>
        <w:t>Костянтин</w:t>
      </w:r>
      <w:r w:rsidRPr="00123793">
        <w:rPr>
          <w:rFonts w:ascii="Times New Roman" w:hAnsi="Times New Roman" w:cs="Times New Roman"/>
          <w:sz w:val="24"/>
          <w:szCs w:val="24"/>
        </w:rPr>
        <w:t xml:space="preserve">івській громаді становить </w:t>
      </w:r>
      <w:r w:rsidR="00123793">
        <w:rPr>
          <w:rFonts w:ascii="Times New Roman" w:hAnsi="Times New Roman" w:cs="Times New Roman"/>
          <w:sz w:val="24"/>
          <w:szCs w:val="24"/>
        </w:rPr>
        <w:t xml:space="preserve">майже </w:t>
      </w:r>
      <w:r w:rsidRPr="00123793">
        <w:rPr>
          <w:rFonts w:ascii="Times New Roman" w:hAnsi="Times New Roman" w:cs="Times New Roman"/>
          <w:sz w:val="24"/>
          <w:szCs w:val="24"/>
        </w:rPr>
        <w:t xml:space="preserve">60% від загальної кількості жителів. </w:t>
      </w:r>
    </w:p>
    <w:p w:rsidR="00904452" w:rsidRPr="00123793" w:rsidRDefault="00904452" w:rsidP="00925E2E">
      <w:pPr>
        <w:pStyle w:val="a7"/>
        <w:shd w:val="clear" w:color="auto" w:fill="auto"/>
        <w:spacing w:before="0" w:after="84" w:line="276" w:lineRule="auto"/>
        <w:ind w:left="20" w:right="20" w:firstLine="688"/>
        <w:jc w:val="both"/>
        <w:rPr>
          <w:rFonts w:ascii="Times New Roman" w:hAnsi="Times New Roman" w:cs="Times New Roman"/>
          <w:sz w:val="24"/>
          <w:szCs w:val="24"/>
        </w:rPr>
      </w:pPr>
    </w:p>
    <w:p w:rsidR="00611D1F" w:rsidRDefault="00611D1F" w:rsidP="00611D1F">
      <w:pPr>
        <w:ind w:firstLine="708"/>
        <w:jc w:val="both"/>
        <w:rPr>
          <w:rFonts w:ascii="Times New Roman" w:hAnsi="Times New Roman" w:cs="Times New Roman"/>
          <w:b/>
          <w:sz w:val="20"/>
          <w:szCs w:val="20"/>
        </w:rPr>
      </w:pPr>
      <w:r w:rsidRPr="00A0003C">
        <w:rPr>
          <w:rFonts w:ascii="Times New Roman" w:hAnsi="Times New Roman" w:cs="Times New Roman"/>
          <w:b/>
          <w:noProof/>
          <w:sz w:val="20"/>
          <w:szCs w:val="20"/>
          <w:lang w:val="ru-RU" w:eastAsia="ru-RU"/>
        </w:rPr>
        <w:drawing>
          <wp:inline distT="0" distB="0" distL="0" distR="0">
            <wp:extent cx="5943600" cy="3162300"/>
            <wp:effectExtent l="19050" t="0" r="19050" b="0"/>
            <wp:docPr id="2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11D1F" w:rsidRDefault="00611D1F" w:rsidP="00611D1F">
      <w:pPr>
        <w:ind w:firstLine="708"/>
        <w:jc w:val="center"/>
        <w:rPr>
          <w:rFonts w:ascii="Times New Roman" w:hAnsi="Times New Roman" w:cs="Times New Roman"/>
          <w:b/>
          <w:sz w:val="20"/>
          <w:szCs w:val="20"/>
        </w:rPr>
      </w:pPr>
      <w:r>
        <w:rPr>
          <w:rFonts w:ascii="Times New Roman" w:hAnsi="Times New Roman" w:cs="Times New Roman"/>
          <w:b/>
          <w:sz w:val="20"/>
          <w:szCs w:val="20"/>
        </w:rPr>
        <w:t>Малюнок 9</w:t>
      </w:r>
      <w:r w:rsidR="00904452">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904452">
        <w:rPr>
          <w:rFonts w:ascii="Times New Roman" w:hAnsi="Times New Roman" w:cs="Times New Roman"/>
          <w:b/>
          <w:bCs/>
          <w:sz w:val="20"/>
          <w:szCs w:val="20"/>
        </w:rPr>
        <w:t>Працездатне</w:t>
      </w:r>
      <w:r w:rsidRPr="00611D1F">
        <w:rPr>
          <w:rFonts w:ascii="Times New Roman" w:hAnsi="Times New Roman" w:cs="Times New Roman"/>
          <w:b/>
          <w:bCs/>
          <w:sz w:val="20"/>
          <w:szCs w:val="20"/>
        </w:rPr>
        <w:t xml:space="preserve"> населення громади, осіб</w:t>
      </w:r>
    </w:p>
    <w:p w:rsidR="00611D1F" w:rsidRDefault="00611D1F" w:rsidP="000F5B98">
      <w:pPr>
        <w:pStyle w:val="a7"/>
        <w:shd w:val="clear" w:color="auto" w:fill="auto"/>
        <w:spacing w:before="0" w:after="84" w:line="250" w:lineRule="exact"/>
        <w:ind w:left="20" w:right="20" w:firstLine="688"/>
        <w:jc w:val="both"/>
        <w:rPr>
          <w:rFonts w:ascii="Times New Roman" w:hAnsi="Times New Roman" w:cs="Times New Roman"/>
          <w:sz w:val="24"/>
          <w:szCs w:val="24"/>
        </w:rPr>
      </w:pPr>
    </w:p>
    <w:p w:rsidR="00123793" w:rsidRDefault="00123793" w:rsidP="00123793">
      <w:pPr>
        <w:ind w:firstLine="708"/>
        <w:jc w:val="both"/>
        <w:rPr>
          <w:rFonts w:ascii="Times New Roman" w:hAnsi="Times New Roman" w:cs="Times New Roman"/>
          <w:b/>
          <w:sz w:val="20"/>
          <w:szCs w:val="20"/>
        </w:rPr>
      </w:pPr>
      <w:r w:rsidRPr="00A0003C">
        <w:rPr>
          <w:rFonts w:ascii="Times New Roman" w:hAnsi="Times New Roman" w:cs="Times New Roman"/>
          <w:b/>
          <w:noProof/>
          <w:sz w:val="20"/>
          <w:szCs w:val="20"/>
          <w:lang w:val="ru-RU" w:eastAsia="ru-RU"/>
        </w:rPr>
        <w:drawing>
          <wp:inline distT="0" distB="0" distL="0" distR="0">
            <wp:extent cx="5943600" cy="3162300"/>
            <wp:effectExtent l="19050" t="0" r="19050" b="0"/>
            <wp:docPr id="3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04452" w:rsidRDefault="00123793" w:rsidP="00904452">
      <w:pPr>
        <w:spacing w:after="0" w:line="240" w:lineRule="auto"/>
        <w:ind w:firstLine="708"/>
        <w:jc w:val="center"/>
        <w:rPr>
          <w:rFonts w:ascii="Times New Roman" w:hAnsi="Times New Roman" w:cs="Times New Roman"/>
          <w:b/>
          <w:bCs/>
          <w:sz w:val="20"/>
          <w:szCs w:val="20"/>
        </w:rPr>
      </w:pPr>
      <w:r>
        <w:rPr>
          <w:rFonts w:ascii="Times New Roman" w:hAnsi="Times New Roman" w:cs="Times New Roman"/>
          <w:b/>
          <w:sz w:val="20"/>
          <w:szCs w:val="20"/>
        </w:rPr>
        <w:t>Малюнок 10</w:t>
      </w:r>
      <w:r w:rsidR="00904452">
        <w:rPr>
          <w:rFonts w:ascii="Times New Roman" w:hAnsi="Times New Roman" w:cs="Times New Roman"/>
          <w:b/>
          <w:sz w:val="20"/>
          <w:szCs w:val="20"/>
        </w:rPr>
        <w:t>.</w:t>
      </w:r>
      <w:r>
        <w:rPr>
          <w:rFonts w:ascii="Times New Roman" w:hAnsi="Times New Roman" w:cs="Times New Roman"/>
          <w:b/>
          <w:sz w:val="20"/>
          <w:szCs w:val="20"/>
        </w:rPr>
        <w:t xml:space="preserve"> </w:t>
      </w:r>
      <w:r w:rsidRPr="00123793">
        <w:rPr>
          <w:rFonts w:ascii="Times New Roman" w:hAnsi="Times New Roman" w:cs="Times New Roman"/>
          <w:b/>
          <w:bCs/>
          <w:sz w:val="20"/>
          <w:szCs w:val="20"/>
        </w:rPr>
        <w:t xml:space="preserve">Питома вага працевлаштованих мешканців громади, </w:t>
      </w:r>
    </w:p>
    <w:p w:rsidR="00123793" w:rsidRDefault="00123793" w:rsidP="00904452">
      <w:pPr>
        <w:spacing w:after="0" w:line="240" w:lineRule="auto"/>
        <w:ind w:firstLine="708"/>
        <w:jc w:val="center"/>
        <w:rPr>
          <w:rFonts w:ascii="Times New Roman" w:hAnsi="Times New Roman" w:cs="Times New Roman"/>
          <w:b/>
          <w:bCs/>
          <w:sz w:val="20"/>
          <w:szCs w:val="20"/>
        </w:rPr>
      </w:pPr>
      <w:r w:rsidRPr="00123793">
        <w:rPr>
          <w:rFonts w:ascii="Times New Roman" w:hAnsi="Times New Roman" w:cs="Times New Roman"/>
          <w:b/>
          <w:bCs/>
          <w:sz w:val="20"/>
          <w:szCs w:val="20"/>
        </w:rPr>
        <w:t>за сприянням служби зайнятості, осіб</w:t>
      </w:r>
    </w:p>
    <w:p w:rsidR="00904452" w:rsidRDefault="00904452" w:rsidP="00123793">
      <w:pPr>
        <w:ind w:firstLine="708"/>
        <w:jc w:val="center"/>
        <w:rPr>
          <w:rFonts w:ascii="Times New Roman" w:hAnsi="Times New Roman" w:cs="Times New Roman"/>
          <w:b/>
          <w:sz w:val="20"/>
          <w:szCs w:val="20"/>
        </w:rPr>
      </w:pPr>
    </w:p>
    <w:p w:rsidR="00D81A51" w:rsidRDefault="00D81A51" w:rsidP="00F6102D">
      <w:pPr>
        <w:ind w:right="-426"/>
        <w:jc w:val="both"/>
        <w:rPr>
          <w:rFonts w:ascii="Times New Roman" w:hAnsi="Times New Roman" w:cs="Times New Roman"/>
          <w:b/>
          <w:sz w:val="20"/>
          <w:szCs w:val="20"/>
        </w:rPr>
      </w:pPr>
      <w:r w:rsidRPr="00A0003C">
        <w:rPr>
          <w:rFonts w:ascii="Times New Roman" w:hAnsi="Times New Roman" w:cs="Times New Roman"/>
          <w:b/>
          <w:noProof/>
          <w:sz w:val="20"/>
          <w:szCs w:val="20"/>
          <w:lang w:val="ru-RU" w:eastAsia="ru-RU"/>
        </w:rPr>
        <w:lastRenderedPageBreak/>
        <w:drawing>
          <wp:inline distT="0" distB="0" distL="0" distR="0">
            <wp:extent cx="7080673" cy="3166533"/>
            <wp:effectExtent l="19050" t="0" r="24977" b="0"/>
            <wp:docPr id="4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606EF" w:rsidRDefault="00A606EF" w:rsidP="00A606EF">
      <w:pPr>
        <w:ind w:firstLine="708"/>
        <w:jc w:val="center"/>
        <w:rPr>
          <w:rFonts w:ascii="Times New Roman" w:hAnsi="Times New Roman" w:cs="Times New Roman"/>
          <w:b/>
          <w:sz w:val="20"/>
          <w:szCs w:val="20"/>
        </w:rPr>
      </w:pPr>
      <w:r>
        <w:rPr>
          <w:rFonts w:ascii="Times New Roman" w:hAnsi="Times New Roman" w:cs="Times New Roman"/>
          <w:b/>
          <w:sz w:val="20"/>
          <w:szCs w:val="20"/>
        </w:rPr>
        <w:t>Малюнок 11</w:t>
      </w:r>
      <w:r w:rsidR="00904452">
        <w:rPr>
          <w:rFonts w:ascii="Times New Roman" w:hAnsi="Times New Roman" w:cs="Times New Roman"/>
          <w:b/>
          <w:sz w:val="20"/>
          <w:szCs w:val="20"/>
        </w:rPr>
        <w:t>.</w:t>
      </w:r>
      <w:r>
        <w:rPr>
          <w:rFonts w:ascii="Times New Roman" w:hAnsi="Times New Roman" w:cs="Times New Roman"/>
          <w:b/>
          <w:sz w:val="20"/>
          <w:szCs w:val="20"/>
        </w:rPr>
        <w:t xml:space="preserve"> </w:t>
      </w:r>
      <w:r w:rsidR="00F6102D">
        <w:rPr>
          <w:rFonts w:ascii="Times New Roman" w:hAnsi="Times New Roman" w:cs="Times New Roman"/>
          <w:b/>
          <w:bCs/>
          <w:sz w:val="20"/>
          <w:szCs w:val="20"/>
        </w:rPr>
        <w:t>Зайнятість населення за галузями</w:t>
      </w:r>
      <w:r w:rsidRPr="00611D1F">
        <w:rPr>
          <w:rFonts w:ascii="Times New Roman" w:hAnsi="Times New Roman" w:cs="Times New Roman"/>
          <w:b/>
          <w:bCs/>
          <w:sz w:val="20"/>
          <w:szCs w:val="20"/>
        </w:rPr>
        <w:t>, осіб</w:t>
      </w:r>
    </w:p>
    <w:p w:rsidR="00123793" w:rsidRDefault="00123793" w:rsidP="000F5B98">
      <w:pPr>
        <w:pStyle w:val="a7"/>
        <w:shd w:val="clear" w:color="auto" w:fill="auto"/>
        <w:spacing w:before="0" w:after="84" w:line="250" w:lineRule="exact"/>
        <w:ind w:left="20" w:right="20" w:firstLine="688"/>
        <w:jc w:val="both"/>
        <w:rPr>
          <w:rFonts w:ascii="Times New Roman" w:hAnsi="Times New Roman" w:cs="Times New Roman"/>
          <w:sz w:val="24"/>
          <w:szCs w:val="24"/>
        </w:rPr>
      </w:pPr>
    </w:p>
    <w:p w:rsidR="00904452" w:rsidRDefault="00E5119C" w:rsidP="00F6102D">
      <w:pPr>
        <w:pStyle w:val="a7"/>
        <w:shd w:val="clear" w:color="auto" w:fill="auto"/>
        <w:spacing w:before="0" w:after="53" w:line="250" w:lineRule="exact"/>
        <w:ind w:left="20" w:right="20" w:firstLine="688"/>
        <w:jc w:val="both"/>
        <w:rPr>
          <w:rFonts w:ascii="Times New Roman" w:hAnsi="Times New Roman" w:cs="Times New Roman"/>
          <w:sz w:val="24"/>
          <w:szCs w:val="24"/>
        </w:rPr>
      </w:pPr>
      <w:r>
        <w:rPr>
          <w:rFonts w:ascii="Times New Roman" w:hAnsi="Times New Roman" w:cs="Times New Roman"/>
          <w:sz w:val="24"/>
          <w:szCs w:val="24"/>
        </w:rPr>
        <w:t>Як видно з таблиці</w:t>
      </w:r>
      <w:r w:rsidR="00904452">
        <w:rPr>
          <w:rFonts w:ascii="Times New Roman" w:hAnsi="Times New Roman" w:cs="Times New Roman"/>
          <w:sz w:val="24"/>
          <w:szCs w:val="24"/>
        </w:rPr>
        <w:t>, питома вага офіційно зайнятих</w:t>
      </w:r>
      <w:r w:rsidR="00F6102D" w:rsidRPr="00F6102D">
        <w:rPr>
          <w:rFonts w:ascii="Times New Roman" w:hAnsi="Times New Roman" w:cs="Times New Roman"/>
          <w:sz w:val="24"/>
          <w:szCs w:val="24"/>
        </w:rPr>
        <w:t xml:space="preserve"> осіб</w:t>
      </w:r>
      <w:r>
        <w:rPr>
          <w:rFonts w:ascii="Times New Roman" w:hAnsi="Times New Roman" w:cs="Times New Roman"/>
          <w:sz w:val="24"/>
          <w:szCs w:val="24"/>
        </w:rPr>
        <w:t xml:space="preserve"> в громаді</w:t>
      </w:r>
      <w:r w:rsidR="00904452">
        <w:rPr>
          <w:rFonts w:ascii="Times New Roman" w:hAnsi="Times New Roman" w:cs="Times New Roman"/>
          <w:sz w:val="24"/>
          <w:szCs w:val="24"/>
        </w:rPr>
        <w:t xml:space="preserve"> складає</w:t>
      </w:r>
      <w:r w:rsidR="00F6102D" w:rsidRPr="00F6102D">
        <w:rPr>
          <w:rFonts w:ascii="Times New Roman" w:hAnsi="Times New Roman" w:cs="Times New Roman"/>
          <w:sz w:val="24"/>
          <w:szCs w:val="24"/>
        </w:rPr>
        <w:t xml:space="preserve">: </w:t>
      </w:r>
    </w:p>
    <w:p w:rsidR="00F6102D" w:rsidRDefault="00F6102D" w:rsidP="00F6102D">
      <w:pPr>
        <w:pStyle w:val="a7"/>
        <w:shd w:val="clear" w:color="auto" w:fill="auto"/>
        <w:spacing w:before="0" w:after="53" w:line="250" w:lineRule="exact"/>
        <w:ind w:left="20" w:right="20" w:firstLine="688"/>
        <w:jc w:val="both"/>
        <w:rPr>
          <w:rFonts w:ascii="Times New Roman" w:hAnsi="Times New Roman" w:cs="Times New Roman"/>
          <w:sz w:val="24"/>
          <w:szCs w:val="24"/>
        </w:rPr>
      </w:pPr>
      <w:r w:rsidRPr="00F6102D">
        <w:rPr>
          <w:rFonts w:ascii="Times New Roman" w:hAnsi="Times New Roman" w:cs="Times New Roman"/>
          <w:sz w:val="24"/>
          <w:szCs w:val="24"/>
        </w:rPr>
        <w:t xml:space="preserve">в промисловості - </w:t>
      </w:r>
      <w:r w:rsidR="00E5119C">
        <w:rPr>
          <w:rFonts w:ascii="Times New Roman" w:hAnsi="Times New Roman" w:cs="Times New Roman"/>
          <w:sz w:val="24"/>
          <w:szCs w:val="24"/>
        </w:rPr>
        <w:t>2</w:t>
      </w:r>
      <w:r w:rsidRPr="00F6102D">
        <w:rPr>
          <w:rFonts w:ascii="Times New Roman" w:hAnsi="Times New Roman" w:cs="Times New Roman"/>
          <w:sz w:val="24"/>
          <w:szCs w:val="24"/>
        </w:rPr>
        <w:t>6,</w:t>
      </w:r>
      <w:r w:rsidR="00E5119C">
        <w:rPr>
          <w:rFonts w:ascii="Times New Roman" w:hAnsi="Times New Roman" w:cs="Times New Roman"/>
          <w:sz w:val="24"/>
          <w:szCs w:val="24"/>
        </w:rPr>
        <w:t>7</w:t>
      </w:r>
      <w:r w:rsidRPr="00F6102D">
        <w:rPr>
          <w:rFonts w:ascii="Times New Roman" w:hAnsi="Times New Roman" w:cs="Times New Roman"/>
          <w:sz w:val="24"/>
          <w:szCs w:val="24"/>
        </w:rPr>
        <w:t xml:space="preserve">%, в </w:t>
      </w:r>
      <w:r w:rsidR="00E5119C">
        <w:rPr>
          <w:rFonts w:ascii="Times New Roman" w:hAnsi="Times New Roman" w:cs="Times New Roman"/>
          <w:sz w:val="24"/>
          <w:szCs w:val="24"/>
        </w:rPr>
        <w:t xml:space="preserve">освіті - 20,5%, в охороні здоров’я - 16,8%, в сільському господарстві – 2,1 %, в торгівлі – 3,8%, в державному управлінні – 2,7%, </w:t>
      </w:r>
      <w:r w:rsidR="00904452">
        <w:rPr>
          <w:rFonts w:ascii="Times New Roman" w:hAnsi="Times New Roman" w:cs="Times New Roman"/>
          <w:sz w:val="24"/>
          <w:szCs w:val="24"/>
        </w:rPr>
        <w:t>в інших галузях</w:t>
      </w:r>
      <w:r w:rsidR="009B3D33">
        <w:rPr>
          <w:rFonts w:ascii="Times New Roman" w:hAnsi="Times New Roman" w:cs="Times New Roman"/>
          <w:sz w:val="24"/>
          <w:szCs w:val="24"/>
        </w:rPr>
        <w:t xml:space="preserve"> – 27,3%.</w:t>
      </w:r>
    </w:p>
    <w:p w:rsidR="009B3D33" w:rsidRDefault="009B3D33" w:rsidP="00F6102D">
      <w:pPr>
        <w:pStyle w:val="a7"/>
        <w:shd w:val="clear" w:color="auto" w:fill="auto"/>
        <w:spacing w:before="0" w:after="53" w:line="250" w:lineRule="exact"/>
        <w:ind w:left="20" w:right="20" w:firstLine="688"/>
        <w:jc w:val="both"/>
        <w:rPr>
          <w:rFonts w:ascii="Times New Roman" w:hAnsi="Times New Roman" w:cs="Times New Roman"/>
          <w:sz w:val="24"/>
          <w:szCs w:val="24"/>
        </w:rPr>
      </w:pPr>
    </w:p>
    <w:p w:rsidR="009B3D33" w:rsidRDefault="009B3D33" w:rsidP="00F6102D">
      <w:pPr>
        <w:pStyle w:val="a7"/>
        <w:shd w:val="clear" w:color="auto" w:fill="auto"/>
        <w:spacing w:before="0" w:after="53" w:line="250" w:lineRule="exact"/>
        <w:ind w:left="20" w:right="20" w:firstLine="688"/>
        <w:jc w:val="both"/>
        <w:rPr>
          <w:rFonts w:ascii="Times New Roman" w:hAnsi="Times New Roman" w:cs="Times New Roman"/>
          <w:sz w:val="24"/>
          <w:szCs w:val="24"/>
        </w:rPr>
      </w:pPr>
      <w:r>
        <w:rPr>
          <w:rFonts w:ascii="Times New Roman" w:hAnsi="Times New Roman" w:cs="Times New Roman"/>
          <w:sz w:val="24"/>
          <w:szCs w:val="24"/>
        </w:rPr>
        <w:t>Оплата праці в громаді є нижчою, ніж в середньому по області.</w:t>
      </w:r>
    </w:p>
    <w:p w:rsidR="009B3D33" w:rsidRPr="00F6102D" w:rsidRDefault="009B3D33" w:rsidP="00F6102D">
      <w:pPr>
        <w:pStyle w:val="a7"/>
        <w:shd w:val="clear" w:color="auto" w:fill="auto"/>
        <w:spacing w:before="0" w:after="53" w:line="250" w:lineRule="exact"/>
        <w:ind w:left="20" w:right="20" w:firstLine="688"/>
        <w:jc w:val="both"/>
        <w:rPr>
          <w:rFonts w:ascii="Times New Roman" w:hAnsi="Times New Roman" w:cs="Times New Roman"/>
          <w:sz w:val="24"/>
          <w:szCs w:val="24"/>
        </w:rPr>
      </w:pPr>
    </w:p>
    <w:p w:rsidR="009B3D33" w:rsidRDefault="009B3D33" w:rsidP="009B3D33">
      <w:pPr>
        <w:ind w:firstLine="708"/>
        <w:jc w:val="both"/>
        <w:rPr>
          <w:rFonts w:ascii="Times New Roman" w:hAnsi="Times New Roman" w:cs="Times New Roman"/>
          <w:b/>
          <w:sz w:val="20"/>
          <w:szCs w:val="20"/>
        </w:rPr>
      </w:pPr>
      <w:r w:rsidRPr="00A0003C">
        <w:rPr>
          <w:rFonts w:ascii="Times New Roman" w:hAnsi="Times New Roman" w:cs="Times New Roman"/>
          <w:b/>
          <w:noProof/>
          <w:sz w:val="20"/>
          <w:szCs w:val="20"/>
          <w:lang w:val="ru-RU" w:eastAsia="ru-RU"/>
        </w:rPr>
        <w:drawing>
          <wp:inline distT="0" distB="0" distL="0" distR="0">
            <wp:extent cx="5959052" cy="2889250"/>
            <wp:effectExtent l="19050" t="0" r="22648" b="6350"/>
            <wp:docPr id="4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B3D33" w:rsidRDefault="009B3D33" w:rsidP="009B3D33">
      <w:pPr>
        <w:ind w:firstLine="708"/>
        <w:jc w:val="center"/>
        <w:rPr>
          <w:rFonts w:ascii="Times New Roman" w:hAnsi="Times New Roman" w:cs="Times New Roman"/>
          <w:b/>
          <w:sz w:val="20"/>
          <w:szCs w:val="20"/>
        </w:rPr>
      </w:pPr>
      <w:r>
        <w:rPr>
          <w:rFonts w:ascii="Times New Roman" w:hAnsi="Times New Roman" w:cs="Times New Roman"/>
          <w:b/>
          <w:sz w:val="20"/>
          <w:szCs w:val="20"/>
        </w:rPr>
        <w:t>Малюнок 12</w:t>
      </w:r>
      <w:r w:rsidR="00904452">
        <w:rPr>
          <w:rFonts w:ascii="Times New Roman" w:hAnsi="Times New Roman" w:cs="Times New Roman"/>
          <w:b/>
          <w:sz w:val="20"/>
          <w:szCs w:val="20"/>
        </w:rPr>
        <w:t xml:space="preserve">.  </w:t>
      </w:r>
      <w:r>
        <w:rPr>
          <w:rFonts w:ascii="Times New Roman" w:hAnsi="Times New Roman" w:cs="Times New Roman"/>
          <w:b/>
          <w:sz w:val="20"/>
          <w:szCs w:val="20"/>
        </w:rPr>
        <w:t xml:space="preserve"> </w:t>
      </w:r>
      <w:r>
        <w:rPr>
          <w:rFonts w:ascii="Times New Roman" w:hAnsi="Times New Roman" w:cs="Times New Roman"/>
          <w:b/>
          <w:bCs/>
          <w:sz w:val="20"/>
          <w:szCs w:val="20"/>
        </w:rPr>
        <w:t xml:space="preserve">Порівняння рівня середньомісячної заробітної плати штатних працівників в Україні, Донецької області, </w:t>
      </w:r>
      <w:r w:rsidR="00904452">
        <w:rPr>
          <w:rFonts w:ascii="Times New Roman" w:hAnsi="Times New Roman" w:cs="Times New Roman"/>
          <w:b/>
          <w:bCs/>
          <w:sz w:val="20"/>
          <w:szCs w:val="20"/>
        </w:rPr>
        <w:t xml:space="preserve">м. </w:t>
      </w:r>
      <w:r>
        <w:rPr>
          <w:rFonts w:ascii="Times New Roman" w:hAnsi="Times New Roman" w:cs="Times New Roman"/>
          <w:b/>
          <w:bCs/>
          <w:sz w:val="20"/>
          <w:szCs w:val="20"/>
        </w:rPr>
        <w:t>Костянтинівці, грн..</w:t>
      </w:r>
    </w:p>
    <w:p w:rsidR="00133DA0" w:rsidRPr="00133DA0" w:rsidRDefault="009B3D33" w:rsidP="00904452">
      <w:pPr>
        <w:pStyle w:val="a7"/>
        <w:shd w:val="clear" w:color="auto" w:fill="auto"/>
        <w:spacing w:before="0" w:after="124" w:line="276" w:lineRule="auto"/>
        <w:ind w:left="80" w:right="80" w:firstLine="628"/>
        <w:jc w:val="both"/>
        <w:rPr>
          <w:rFonts w:ascii="Times New Roman" w:hAnsi="Times New Roman" w:cs="Times New Roman"/>
          <w:sz w:val="24"/>
          <w:szCs w:val="24"/>
        </w:rPr>
      </w:pPr>
      <w:r w:rsidRPr="009B3D33">
        <w:rPr>
          <w:rFonts w:ascii="Times New Roman" w:hAnsi="Times New Roman" w:cs="Times New Roman"/>
          <w:sz w:val="24"/>
          <w:szCs w:val="24"/>
        </w:rPr>
        <w:t xml:space="preserve">Рівень середньомісячної заробітної плати штатних працівників громади є нижчим, ніж в середньому по області і Україні. Зазначимо, що на наведеній вище діаграмі </w:t>
      </w:r>
      <w:r w:rsidR="00904452">
        <w:rPr>
          <w:rFonts w:ascii="Times New Roman" w:hAnsi="Times New Roman" w:cs="Times New Roman"/>
          <w:sz w:val="24"/>
          <w:szCs w:val="24"/>
        </w:rPr>
        <w:t xml:space="preserve">(мал. 12.) </w:t>
      </w:r>
      <w:r w:rsidRPr="009B3D33">
        <w:rPr>
          <w:rFonts w:ascii="Times New Roman" w:hAnsi="Times New Roman" w:cs="Times New Roman"/>
          <w:sz w:val="24"/>
          <w:szCs w:val="24"/>
        </w:rPr>
        <w:t>д</w:t>
      </w:r>
      <w:r w:rsidR="00D013DA">
        <w:rPr>
          <w:rFonts w:ascii="Times New Roman" w:hAnsi="Times New Roman" w:cs="Times New Roman"/>
          <w:sz w:val="24"/>
          <w:szCs w:val="24"/>
        </w:rPr>
        <w:t>ані стосуються лише м. Костянтинівка</w:t>
      </w:r>
      <w:r w:rsidRPr="009B3D33">
        <w:rPr>
          <w:rFonts w:ascii="Times New Roman" w:hAnsi="Times New Roman" w:cs="Times New Roman"/>
          <w:sz w:val="24"/>
          <w:szCs w:val="24"/>
        </w:rPr>
        <w:t>, що означає</w:t>
      </w:r>
      <w:r w:rsidR="00133DA0">
        <w:rPr>
          <w:rFonts w:ascii="Times New Roman" w:hAnsi="Times New Roman" w:cs="Times New Roman"/>
          <w:sz w:val="24"/>
          <w:szCs w:val="24"/>
        </w:rPr>
        <w:t xml:space="preserve">, </w:t>
      </w:r>
      <w:r w:rsidR="00133DA0" w:rsidRPr="00133DA0">
        <w:rPr>
          <w:rFonts w:ascii="Times New Roman" w:hAnsi="Times New Roman" w:cs="Times New Roman"/>
          <w:sz w:val="24"/>
          <w:szCs w:val="24"/>
        </w:rPr>
        <w:t xml:space="preserve">що загальні показники по громаді будуть знаходитися на ще нижчому рівні. Як правило, високі показники заробітної плати притаманні галузям, де мінімальні проблеми з «тінізацією»: освіта, державна служба, фінансова сфера, </w:t>
      </w:r>
      <w:r w:rsidR="00133DA0" w:rsidRPr="00133DA0">
        <w:rPr>
          <w:rFonts w:ascii="Times New Roman" w:hAnsi="Times New Roman" w:cs="Times New Roman"/>
          <w:sz w:val="24"/>
          <w:szCs w:val="24"/>
        </w:rPr>
        <w:lastRenderedPageBreak/>
        <w:t>транспорт та зв'язок, промисловість. Натомість, сільське господарство, громадське харчування, підприємництво і торгівля, мають, як правило, низькі офіційні заробітні плати. Враховуючи питому вагу зайнятих в промисловій сфері громади, низькі показники середньої заробітної плати потребують додаткового аналізу та вивчення причин. Разо</w:t>
      </w:r>
      <w:r w:rsidR="00D013DA">
        <w:rPr>
          <w:rFonts w:ascii="Times New Roman" w:hAnsi="Times New Roman" w:cs="Times New Roman"/>
          <w:sz w:val="24"/>
          <w:szCs w:val="24"/>
        </w:rPr>
        <w:t>м з тим, порівнюючи м. Костянтинівка</w:t>
      </w:r>
      <w:r w:rsidR="00133DA0" w:rsidRPr="00133DA0">
        <w:rPr>
          <w:rFonts w:ascii="Times New Roman" w:hAnsi="Times New Roman" w:cs="Times New Roman"/>
          <w:sz w:val="24"/>
          <w:szCs w:val="24"/>
        </w:rPr>
        <w:t xml:space="preserve"> з іншими промисловими містами Краматорського району, можемо зазначити, що цей показник є трохи гіршим за середн</w:t>
      </w:r>
      <w:r w:rsidR="00D013DA">
        <w:rPr>
          <w:rFonts w:ascii="Times New Roman" w:hAnsi="Times New Roman" w:cs="Times New Roman"/>
          <w:sz w:val="24"/>
          <w:szCs w:val="24"/>
        </w:rPr>
        <w:t xml:space="preserve">ій: рівень оплати в </w:t>
      </w:r>
      <w:r w:rsidR="00904452">
        <w:rPr>
          <w:rFonts w:ascii="Times New Roman" w:hAnsi="Times New Roman" w:cs="Times New Roman"/>
          <w:sz w:val="24"/>
          <w:szCs w:val="24"/>
        </w:rPr>
        <w:t xml:space="preserve">                      </w:t>
      </w:r>
      <w:r w:rsidR="00D013DA">
        <w:rPr>
          <w:rFonts w:ascii="Times New Roman" w:hAnsi="Times New Roman" w:cs="Times New Roman"/>
          <w:sz w:val="24"/>
          <w:szCs w:val="24"/>
        </w:rPr>
        <w:t>м. Костянтинівка</w:t>
      </w:r>
      <w:r w:rsidR="00133DA0" w:rsidRPr="00133DA0">
        <w:rPr>
          <w:rFonts w:ascii="Times New Roman" w:hAnsi="Times New Roman" w:cs="Times New Roman"/>
          <w:sz w:val="24"/>
          <w:szCs w:val="24"/>
        </w:rPr>
        <w:t xml:space="preserve"> є нижчим, ніж в м. Краматорську та м. Лимані</w:t>
      </w:r>
      <w:r w:rsidR="00067A10">
        <w:rPr>
          <w:rFonts w:ascii="Times New Roman" w:hAnsi="Times New Roman" w:cs="Times New Roman"/>
          <w:sz w:val="24"/>
          <w:szCs w:val="24"/>
        </w:rPr>
        <w:t xml:space="preserve"> і </w:t>
      </w:r>
      <w:r w:rsidR="00133DA0" w:rsidRPr="00133DA0">
        <w:rPr>
          <w:rFonts w:ascii="Times New Roman" w:hAnsi="Times New Roman" w:cs="Times New Roman"/>
          <w:sz w:val="24"/>
          <w:szCs w:val="24"/>
        </w:rPr>
        <w:t>аналогічним до середньої за</w:t>
      </w:r>
      <w:r w:rsidR="00067A10">
        <w:rPr>
          <w:rFonts w:ascii="Times New Roman" w:hAnsi="Times New Roman" w:cs="Times New Roman"/>
          <w:sz w:val="24"/>
          <w:szCs w:val="24"/>
        </w:rPr>
        <w:t>робітної плати в м. Слов'янську, Дружківці.</w:t>
      </w:r>
      <w:r w:rsidR="00133DA0" w:rsidRPr="00133DA0">
        <w:rPr>
          <w:rFonts w:ascii="Times New Roman" w:hAnsi="Times New Roman" w:cs="Times New Roman"/>
          <w:sz w:val="24"/>
          <w:szCs w:val="24"/>
        </w:rPr>
        <w:t xml:space="preserve"> Досить імовірно, що ефективна робота з рядом ключових роботодавців, могла б сприяти зростанню величини середньої заробітної плати в громаді і, відповідно, сприяла б збільшенню бюджетних надходжень, створенню нових робочих місць та збереженню частини населення у працездатному віці від переїзду в інші громади, де існують кращі пропозиції.</w:t>
      </w:r>
    </w:p>
    <w:p w:rsidR="00924046" w:rsidRDefault="00924046" w:rsidP="00067A10">
      <w:pPr>
        <w:pStyle w:val="32"/>
        <w:keepNext/>
        <w:keepLines/>
        <w:shd w:val="clear" w:color="auto" w:fill="auto"/>
        <w:spacing w:before="0" w:after="0" w:line="398" w:lineRule="exact"/>
        <w:ind w:left="20" w:right="1560" w:firstLine="1900"/>
        <w:jc w:val="center"/>
        <w:rPr>
          <w:sz w:val="28"/>
          <w:szCs w:val="28"/>
        </w:rPr>
      </w:pPr>
      <w:bookmarkStart w:id="10" w:name="bookmark17"/>
      <w:bookmarkStart w:id="11" w:name="bookmark18"/>
    </w:p>
    <w:p w:rsidR="00067A10" w:rsidRPr="00925E2E" w:rsidRDefault="00067A10" w:rsidP="00067A10">
      <w:pPr>
        <w:pStyle w:val="32"/>
        <w:keepNext/>
        <w:keepLines/>
        <w:shd w:val="clear" w:color="auto" w:fill="auto"/>
        <w:spacing w:before="0" w:after="0" w:line="398" w:lineRule="exact"/>
        <w:ind w:left="20" w:right="1560" w:firstLine="1900"/>
        <w:jc w:val="center"/>
        <w:rPr>
          <w:sz w:val="28"/>
          <w:szCs w:val="28"/>
        </w:rPr>
      </w:pPr>
      <w:r w:rsidRPr="00925E2E">
        <w:rPr>
          <w:sz w:val="28"/>
          <w:szCs w:val="28"/>
        </w:rPr>
        <w:t>1.3</w:t>
      </w:r>
      <w:r w:rsidR="00924046">
        <w:rPr>
          <w:sz w:val="28"/>
          <w:szCs w:val="28"/>
        </w:rPr>
        <w:t>.</w:t>
      </w:r>
      <w:r w:rsidRPr="00925E2E">
        <w:rPr>
          <w:sz w:val="28"/>
          <w:szCs w:val="28"/>
        </w:rPr>
        <w:t xml:space="preserve"> Земельні ресурси та корисні копалини</w:t>
      </w:r>
    </w:p>
    <w:p w:rsidR="00067A10" w:rsidRDefault="00067A10" w:rsidP="00067A10">
      <w:pPr>
        <w:pStyle w:val="32"/>
        <w:keepNext/>
        <w:keepLines/>
        <w:shd w:val="clear" w:color="auto" w:fill="auto"/>
        <w:spacing w:before="0" w:after="0" w:line="398" w:lineRule="exact"/>
        <w:ind w:left="1640" w:right="1560" w:firstLine="1900"/>
        <w:rPr>
          <w:rStyle w:val="311pt"/>
          <w:b/>
          <w:bCs/>
          <w:sz w:val="24"/>
          <w:szCs w:val="24"/>
        </w:rPr>
      </w:pPr>
      <w:r w:rsidRPr="00067A10">
        <w:rPr>
          <w:rStyle w:val="311pt"/>
          <w:b/>
          <w:bCs/>
          <w:sz w:val="24"/>
          <w:szCs w:val="24"/>
        </w:rPr>
        <w:t>1.3.1</w:t>
      </w:r>
      <w:r w:rsidR="000B2660">
        <w:rPr>
          <w:rStyle w:val="311pt"/>
          <w:b/>
          <w:bCs/>
          <w:sz w:val="24"/>
          <w:szCs w:val="24"/>
        </w:rPr>
        <w:t>.</w:t>
      </w:r>
      <w:r w:rsidRPr="00067A10">
        <w:rPr>
          <w:rStyle w:val="311pt"/>
          <w:b/>
          <w:bCs/>
          <w:sz w:val="24"/>
          <w:szCs w:val="24"/>
        </w:rPr>
        <w:t xml:space="preserve"> Земельні ресурси</w:t>
      </w:r>
      <w:bookmarkEnd w:id="10"/>
      <w:bookmarkEnd w:id="11"/>
    </w:p>
    <w:p w:rsidR="00924046" w:rsidRPr="00067A10" w:rsidRDefault="00924046" w:rsidP="00067A10">
      <w:pPr>
        <w:pStyle w:val="32"/>
        <w:keepNext/>
        <w:keepLines/>
        <w:shd w:val="clear" w:color="auto" w:fill="auto"/>
        <w:spacing w:before="0" w:after="0" w:line="398" w:lineRule="exact"/>
        <w:ind w:left="1640" w:right="1560" w:firstLine="1900"/>
        <w:rPr>
          <w:sz w:val="24"/>
          <w:szCs w:val="24"/>
        </w:rPr>
      </w:pPr>
    </w:p>
    <w:p w:rsidR="00067A10" w:rsidRPr="00067A10" w:rsidRDefault="00067A10" w:rsidP="00924046">
      <w:pPr>
        <w:pStyle w:val="a7"/>
        <w:shd w:val="clear" w:color="auto" w:fill="auto"/>
        <w:spacing w:before="0" w:after="0" w:line="276" w:lineRule="auto"/>
        <w:ind w:firstLine="688"/>
        <w:jc w:val="both"/>
        <w:rPr>
          <w:rFonts w:ascii="Times New Roman" w:hAnsi="Times New Roman" w:cs="Times New Roman"/>
          <w:sz w:val="24"/>
          <w:szCs w:val="24"/>
        </w:rPr>
      </w:pPr>
      <w:r w:rsidRPr="00067A10">
        <w:rPr>
          <w:rFonts w:ascii="Times New Roman" w:hAnsi="Times New Roman" w:cs="Times New Roman"/>
          <w:sz w:val="24"/>
          <w:szCs w:val="24"/>
        </w:rPr>
        <w:t xml:space="preserve">Загальна площа </w:t>
      </w:r>
      <w:r w:rsidR="00924046">
        <w:rPr>
          <w:rFonts w:ascii="Times New Roman" w:hAnsi="Times New Roman" w:cs="Times New Roman"/>
          <w:sz w:val="24"/>
          <w:szCs w:val="24"/>
        </w:rPr>
        <w:t>Костянтин</w:t>
      </w:r>
      <w:r w:rsidRPr="00067A10">
        <w:rPr>
          <w:rFonts w:ascii="Times New Roman" w:hAnsi="Times New Roman" w:cs="Times New Roman"/>
          <w:sz w:val="24"/>
          <w:szCs w:val="24"/>
        </w:rPr>
        <w:t xml:space="preserve">івської міської територіальної громади становить </w:t>
      </w:r>
      <w:r w:rsidR="008E51D7">
        <w:rPr>
          <w:rFonts w:ascii="Times New Roman" w:hAnsi="Times New Roman" w:cs="Times New Roman"/>
          <w:sz w:val="24"/>
          <w:szCs w:val="24"/>
        </w:rPr>
        <w:t>47335 га. Територіально, найбільшим</w:t>
      </w:r>
      <w:r w:rsidRPr="00067A10">
        <w:rPr>
          <w:rFonts w:ascii="Times New Roman" w:hAnsi="Times New Roman" w:cs="Times New Roman"/>
          <w:sz w:val="24"/>
          <w:szCs w:val="24"/>
        </w:rPr>
        <w:t xml:space="preserve"> є </w:t>
      </w:r>
      <w:r w:rsidR="008E51D7">
        <w:rPr>
          <w:rFonts w:ascii="Times New Roman" w:hAnsi="Times New Roman" w:cs="Times New Roman"/>
          <w:sz w:val="24"/>
          <w:szCs w:val="24"/>
        </w:rPr>
        <w:t xml:space="preserve">Іванопільський старостинський округ - 15466 га, найменшим - Миколаївський </w:t>
      </w:r>
      <w:r w:rsidR="00924046">
        <w:rPr>
          <w:rFonts w:ascii="Times New Roman" w:hAnsi="Times New Roman" w:cs="Times New Roman"/>
          <w:sz w:val="24"/>
          <w:szCs w:val="24"/>
        </w:rPr>
        <w:t>старостинський округ</w:t>
      </w:r>
      <w:r w:rsidR="008E51D7">
        <w:rPr>
          <w:rFonts w:ascii="Times New Roman" w:hAnsi="Times New Roman" w:cs="Times New Roman"/>
          <w:sz w:val="24"/>
          <w:szCs w:val="24"/>
        </w:rPr>
        <w:t>- 2007</w:t>
      </w:r>
      <w:r w:rsidRPr="00067A10">
        <w:rPr>
          <w:rFonts w:ascii="Times New Roman" w:hAnsi="Times New Roman" w:cs="Times New Roman"/>
          <w:sz w:val="24"/>
          <w:szCs w:val="24"/>
        </w:rPr>
        <w:t xml:space="preserve"> га.</w:t>
      </w:r>
    </w:p>
    <w:p w:rsidR="00067A10" w:rsidRDefault="00E40EE0" w:rsidP="00067A10">
      <w:pPr>
        <w:jc w:val="both"/>
        <w:rPr>
          <w:rFonts w:ascii="Times New Roman" w:hAnsi="Times New Roman" w:cs="Times New Roman"/>
          <w:b/>
          <w:sz w:val="20"/>
          <w:szCs w:val="20"/>
        </w:rPr>
      </w:pPr>
      <w:r w:rsidRPr="00E40EE0">
        <w:rPr>
          <w:rFonts w:ascii="Times New Roman" w:hAnsi="Times New Roman" w:cs="Times New Roman"/>
          <w:b/>
          <w:noProof/>
          <w:sz w:val="20"/>
          <w:szCs w:val="20"/>
          <w:lang w:val="ru-RU" w:eastAsia="ru-RU"/>
        </w:rPr>
        <w:drawing>
          <wp:inline distT="0" distB="0" distL="0" distR="0">
            <wp:extent cx="6124575" cy="3009900"/>
            <wp:effectExtent l="19050" t="0" r="9525" b="0"/>
            <wp:docPr id="5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67A10" w:rsidRDefault="00067A10" w:rsidP="00067A10">
      <w:pPr>
        <w:ind w:firstLine="708"/>
        <w:jc w:val="center"/>
        <w:rPr>
          <w:rFonts w:ascii="Times New Roman" w:hAnsi="Times New Roman" w:cs="Times New Roman"/>
          <w:b/>
          <w:sz w:val="20"/>
          <w:szCs w:val="20"/>
        </w:rPr>
      </w:pPr>
      <w:r>
        <w:rPr>
          <w:rFonts w:ascii="Times New Roman" w:hAnsi="Times New Roman" w:cs="Times New Roman"/>
          <w:b/>
          <w:sz w:val="20"/>
          <w:szCs w:val="20"/>
        </w:rPr>
        <w:t>Малюнок 1</w:t>
      </w:r>
      <w:r w:rsidR="00E40EE0">
        <w:rPr>
          <w:rFonts w:ascii="Times New Roman" w:hAnsi="Times New Roman" w:cs="Times New Roman"/>
          <w:b/>
          <w:sz w:val="20"/>
          <w:szCs w:val="20"/>
        </w:rPr>
        <w:t>3</w:t>
      </w:r>
      <w:r w:rsidR="003C7F41">
        <w:rPr>
          <w:rFonts w:ascii="Times New Roman" w:hAnsi="Times New Roman" w:cs="Times New Roman"/>
          <w:b/>
          <w:sz w:val="20"/>
          <w:szCs w:val="20"/>
        </w:rPr>
        <w:t>.</w:t>
      </w:r>
      <w:r>
        <w:rPr>
          <w:rFonts w:ascii="Times New Roman" w:hAnsi="Times New Roman" w:cs="Times New Roman"/>
          <w:b/>
          <w:sz w:val="20"/>
          <w:szCs w:val="20"/>
        </w:rPr>
        <w:t xml:space="preserve"> </w:t>
      </w:r>
      <w:r w:rsidR="00E40EE0">
        <w:rPr>
          <w:rFonts w:ascii="Times New Roman" w:hAnsi="Times New Roman" w:cs="Times New Roman"/>
          <w:b/>
          <w:sz w:val="20"/>
          <w:szCs w:val="20"/>
        </w:rPr>
        <w:t>Територія Костянтинівської громади в розрізі рад, які її сформували, га</w:t>
      </w:r>
    </w:p>
    <w:p w:rsidR="00F6102D" w:rsidRDefault="003C7F41" w:rsidP="003C7F41">
      <w:pPr>
        <w:pStyle w:val="a7"/>
        <w:shd w:val="clear" w:color="auto" w:fill="auto"/>
        <w:spacing w:before="0" w:after="84" w:line="276" w:lineRule="auto"/>
        <w:ind w:left="20" w:right="20" w:firstLine="688"/>
        <w:jc w:val="both"/>
        <w:rPr>
          <w:rFonts w:ascii="Times New Roman" w:hAnsi="Times New Roman" w:cs="Times New Roman"/>
          <w:sz w:val="24"/>
          <w:szCs w:val="24"/>
        </w:rPr>
      </w:pPr>
      <w:r>
        <w:rPr>
          <w:rFonts w:ascii="Times New Roman" w:hAnsi="Times New Roman" w:cs="Times New Roman"/>
          <w:sz w:val="24"/>
          <w:szCs w:val="24"/>
        </w:rPr>
        <w:t>Приєднання до</w:t>
      </w:r>
      <w:r w:rsidR="00E40EE0">
        <w:rPr>
          <w:rFonts w:ascii="Times New Roman" w:hAnsi="Times New Roman" w:cs="Times New Roman"/>
          <w:sz w:val="24"/>
          <w:szCs w:val="24"/>
        </w:rPr>
        <w:t xml:space="preserve"> Костянтин</w:t>
      </w:r>
      <w:r w:rsidR="00E40EE0" w:rsidRPr="00E40EE0">
        <w:rPr>
          <w:rFonts w:ascii="Times New Roman" w:hAnsi="Times New Roman" w:cs="Times New Roman"/>
          <w:sz w:val="24"/>
          <w:szCs w:val="24"/>
        </w:rPr>
        <w:t xml:space="preserve">івської ради </w:t>
      </w:r>
      <w:proofErr w:type="spellStart"/>
      <w:r w:rsidR="00E40EE0">
        <w:rPr>
          <w:rFonts w:ascii="Times New Roman" w:hAnsi="Times New Roman" w:cs="Times New Roman"/>
          <w:sz w:val="24"/>
          <w:szCs w:val="24"/>
        </w:rPr>
        <w:t>Іванопільської</w:t>
      </w:r>
      <w:proofErr w:type="spellEnd"/>
      <w:r w:rsidR="00E40EE0">
        <w:rPr>
          <w:rFonts w:ascii="Times New Roman" w:hAnsi="Times New Roman" w:cs="Times New Roman"/>
          <w:sz w:val="24"/>
          <w:szCs w:val="24"/>
        </w:rPr>
        <w:t xml:space="preserve">, </w:t>
      </w:r>
      <w:proofErr w:type="spellStart"/>
      <w:r w:rsidR="00E40EE0">
        <w:rPr>
          <w:rFonts w:ascii="Times New Roman" w:hAnsi="Times New Roman" w:cs="Times New Roman"/>
          <w:sz w:val="24"/>
          <w:szCs w:val="24"/>
        </w:rPr>
        <w:t>Віролюбівської</w:t>
      </w:r>
      <w:proofErr w:type="spellEnd"/>
      <w:r w:rsidR="00E40EE0">
        <w:rPr>
          <w:rFonts w:ascii="Times New Roman" w:hAnsi="Times New Roman" w:cs="Times New Roman"/>
          <w:sz w:val="24"/>
          <w:szCs w:val="24"/>
        </w:rPr>
        <w:t xml:space="preserve">, </w:t>
      </w:r>
      <w:proofErr w:type="spellStart"/>
      <w:r w:rsidR="00E40EE0">
        <w:rPr>
          <w:rFonts w:ascii="Times New Roman" w:hAnsi="Times New Roman" w:cs="Times New Roman"/>
          <w:sz w:val="24"/>
          <w:szCs w:val="24"/>
        </w:rPr>
        <w:t>Новодмитрівської</w:t>
      </w:r>
      <w:proofErr w:type="spellEnd"/>
      <w:r w:rsidR="00E40EE0">
        <w:rPr>
          <w:rFonts w:ascii="Times New Roman" w:hAnsi="Times New Roman" w:cs="Times New Roman"/>
          <w:sz w:val="24"/>
          <w:szCs w:val="24"/>
        </w:rPr>
        <w:t>, Миколаївськ</w:t>
      </w:r>
      <w:r>
        <w:rPr>
          <w:rFonts w:ascii="Times New Roman" w:hAnsi="Times New Roman" w:cs="Times New Roman"/>
          <w:sz w:val="24"/>
          <w:szCs w:val="24"/>
        </w:rPr>
        <w:t xml:space="preserve">ої, </w:t>
      </w:r>
      <w:proofErr w:type="spellStart"/>
      <w:r>
        <w:rPr>
          <w:rFonts w:ascii="Times New Roman" w:hAnsi="Times New Roman" w:cs="Times New Roman"/>
          <w:sz w:val="24"/>
          <w:szCs w:val="24"/>
        </w:rPr>
        <w:t>Предтечинської</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Марківської</w:t>
      </w:r>
      <w:proofErr w:type="spellEnd"/>
      <w:r>
        <w:rPr>
          <w:rFonts w:ascii="Times New Roman" w:hAnsi="Times New Roman" w:cs="Times New Roman"/>
          <w:sz w:val="24"/>
          <w:szCs w:val="24"/>
        </w:rPr>
        <w:t xml:space="preserve"> та </w:t>
      </w:r>
      <w:proofErr w:type="spellStart"/>
      <w:r>
        <w:rPr>
          <w:rFonts w:ascii="Times New Roman" w:hAnsi="Times New Roman" w:cs="Times New Roman"/>
          <w:sz w:val="24"/>
          <w:szCs w:val="24"/>
        </w:rPr>
        <w:t>Білокузьминівської</w:t>
      </w:r>
      <w:proofErr w:type="spellEnd"/>
      <w:r w:rsidR="00E40EE0">
        <w:rPr>
          <w:rFonts w:ascii="Times New Roman" w:hAnsi="Times New Roman" w:cs="Times New Roman"/>
          <w:sz w:val="24"/>
          <w:szCs w:val="24"/>
        </w:rPr>
        <w:t xml:space="preserve"> </w:t>
      </w:r>
      <w:r w:rsidR="00E40EE0" w:rsidRPr="00E40EE0">
        <w:rPr>
          <w:rFonts w:ascii="Times New Roman" w:hAnsi="Times New Roman" w:cs="Times New Roman"/>
          <w:sz w:val="24"/>
          <w:szCs w:val="24"/>
        </w:rPr>
        <w:t xml:space="preserve">сільських рад сприяло суттєвому збільшенню площі </w:t>
      </w:r>
      <w:r>
        <w:rPr>
          <w:rFonts w:ascii="Times New Roman" w:hAnsi="Times New Roman" w:cs="Times New Roman"/>
          <w:sz w:val="24"/>
          <w:szCs w:val="24"/>
        </w:rPr>
        <w:t xml:space="preserve">території </w:t>
      </w:r>
      <w:r w:rsidR="00E40EE0" w:rsidRPr="00E40EE0">
        <w:rPr>
          <w:rFonts w:ascii="Times New Roman" w:hAnsi="Times New Roman" w:cs="Times New Roman"/>
          <w:sz w:val="24"/>
          <w:szCs w:val="24"/>
        </w:rPr>
        <w:t>громади.</w:t>
      </w:r>
    </w:p>
    <w:p w:rsidR="00992A35" w:rsidRDefault="00992A35" w:rsidP="003C7F41">
      <w:pPr>
        <w:pStyle w:val="a7"/>
        <w:shd w:val="clear" w:color="auto" w:fill="auto"/>
        <w:spacing w:before="0" w:after="84" w:line="276" w:lineRule="auto"/>
        <w:ind w:left="20" w:right="20" w:firstLine="688"/>
        <w:jc w:val="both"/>
        <w:rPr>
          <w:rFonts w:ascii="Times New Roman" w:hAnsi="Times New Roman" w:cs="Times New Roman"/>
          <w:sz w:val="24"/>
          <w:szCs w:val="24"/>
        </w:rPr>
      </w:pPr>
    </w:p>
    <w:p w:rsidR="00992A35" w:rsidRDefault="00992A35" w:rsidP="003C7F41">
      <w:pPr>
        <w:pStyle w:val="a7"/>
        <w:shd w:val="clear" w:color="auto" w:fill="auto"/>
        <w:spacing w:before="0" w:after="84" w:line="276" w:lineRule="auto"/>
        <w:ind w:left="20" w:right="20" w:firstLine="688"/>
        <w:jc w:val="both"/>
        <w:rPr>
          <w:rFonts w:ascii="Times New Roman" w:hAnsi="Times New Roman" w:cs="Times New Roman"/>
          <w:sz w:val="24"/>
          <w:szCs w:val="24"/>
        </w:rPr>
      </w:pPr>
      <w:r w:rsidRPr="00992A35">
        <w:rPr>
          <w:rFonts w:ascii="Times New Roman" w:hAnsi="Times New Roman" w:cs="Times New Roman"/>
          <w:sz w:val="24"/>
          <w:szCs w:val="24"/>
        </w:rPr>
        <w:t>Включення до складу громади сільських рад також обумовило суттєву зміну призначення земель. На сьогодні землі</w:t>
      </w:r>
      <w:r w:rsidR="003C7F41">
        <w:rPr>
          <w:rFonts w:ascii="Times New Roman" w:hAnsi="Times New Roman" w:cs="Times New Roman"/>
          <w:sz w:val="24"/>
          <w:szCs w:val="24"/>
        </w:rPr>
        <w:t>, які</w:t>
      </w:r>
      <w:r w:rsidRPr="00992A35">
        <w:rPr>
          <w:rFonts w:ascii="Times New Roman" w:hAnsi="Times New Roman" w:cs="Times New Roman"/>
          <w:sz w:val="24"/>
          <w:szCs w:val="24"/>
        </w:rPr>
        <w:t xml:space="preserve"> мають сільськогосподарсь</w:t>
      </w:r>
      <w:r>
        <w:rPr>
          <w:rFonts w:ascii="Times New Roman" w:hAnsi="Times New Roman" w:cs="Times New Roman"/>
          <w:sz w:val="24"/>
          <w:szCs w:val="24"/>
        </w:rPr>
        <w:t>ке призначення</w:t>
      </w:r>
      <w:r w:rsidR="003C7F41">
        <w:rPr>
          <w:rFonts w:ascii="Times New Roman" w:hAnsi="Times New Roman" w:cs="Times New Roman"/>
          <w:sz w:val="24"/>
          <w:szCs w:val="24"/>
        </w:rPr>
        <w:t>,</w:t>
      </w:r>
      <w:r>
        <w:rPr>
          <w:rFonts w:ascii="Times New Roman" w:hAnsi="Times New Roman" w:cs="Times New Roman"/>
          <w:sz w:val="24"/>
          <w:szCs w:val="24"/>
        </w:rPr>
        <w:t xml:space="preserve"> </w:t>
      </w:r>
      <w:r w:rsidR="003C7F41">
        <w:rPr>
          <w:rFonts w:ascii="Times New Roman" w:hAnsi="Times New Roman" w:cs="Times New Roman"/>
          <w:sz w:val="24"/>
          <w:szCs w:val="24"/>
        </w:rPr>
        <w:t>склада</w:t>
      </w:r>
      <w:r>
        <w:rPr>
          <w:rFonts w:ascii="Times New Roman" w:hAnsi="Times New Roman" w:cs="Times New Roman"/>
          <w:sz w:val="24"/>
          <w:szCs w:val="24"/>
        </w:rPr>
        <w:t>ють майже 77,0</w:t>
      </w:r>
      <w:r w:rsidRPr="00992A35">
        <w:rPr>
          <w:rFonts w:ascii="Times New Roman" w:hAnsi="Times New Roman" w:cs="Times New Roman"/>
          <w:sz w:val="24"/>
          <w:szCs w:val="24"/>
        </w:rPr>
        <w:t>% від загальних територій громади. Житлова та громадська забудова - трохи більше 5</w:t>
      </w:r>
      <w:r>
        <w:rPr>
          <w:rFonts w:ascii="Times New Roman" w:hAnsi="Times New Roman" w:cs="Times New Roman"/>
          <w:sz w:val="24"/>
          <w:szCs w:val="24"/>
        </w:rPr>
        <w:t xml:space="preserve">,1 </w:t>
      </w:r>
      <w:r w:rsidRPr="00992A35">
        <w:rPr>
          <w:rFonts w:ascii="Times New Roman" w:hAnsi="Times New Roman" w:cs="Times New Roman"/>
          <w:sz w:val="24"/>
          <w:szCs w:val="24"/>
        </w:rPr>
        <w:t>%, землі лісогосподарського та водного призначення - менше 5</w:t>
      </w:r>
      <w:r>
        <w:rPr>
          <w:rFonts w:ascii="Times New Roman" w:hAnsi="Times New Roman" w:cs="Times New Roman"/>
          <w:sz w:val="24"/>
          <w:szCs w:val="24"/>
        </w:rPr>
        <w:t>,8</w:t>
      </w:r>
      <w:r w:rsidRPr="00992A35">
        <w:rPr>
          <w:rFonts w:ascii="Times New Roman" w:hAnsi="Times New Roman" w:cs="Times New Roman"/>
          <w:sz w:val="24"/>
          <w:szCs w:val="24"/>
        </w:rPr>
        <w:t>%</w:t>
      </w:r>
      <w:r>
        <w:rPr>
          <w:rFonts w:ascii="Times New Roman" w:hAnsi="Times New Roman" w:cs="Times New Roman"/>
          <w:sz w:val="24"/>
          <w:szCs w:val="24"/>
        </w:rPr>
        <w:t>.</w:t>
      </w:r>
    </w:p>
    <w:p w:rsidR="00992A35" w:rsidRDefault="00992A35" w:rsidP="000F5B98">
      <w:pPr>
        <w:pStyle w:val="a7"/>
        <w:shd w:val="clear" w:color="auto" w:fill="auto"/>
        <w:spacing w:before="0" w:after="84" w:line="250" w:lineRule="exact"/>
        <w:ind w:left="20" w:right="20" w:firstLine="688"/>
        <w:jc w:val="both"/>
        <w:rPr>
          <w:rFonts w:ascii="Times New Roman" w:hAnsi="Times New Roman" w:cs="Times New Roman"/>
          <w:sz w:val="24"/>
          <w:szCs w:val="24"/>
        </w:rPr>
      </w:pPr>
    </w:p>
    <w:p w:rsidR="00992A35" w:rsidRDefault="00992A35" w:rsidP="00992A35">
      <w:pPr>
        <w:jc w:val="both"/>
        <w:rPr>
          <w:rFonts w:ascii="Times New Roman" w:hAnsi="Times New Roman" w:cs="Times New Roman"/>
          <w:b/>
          <w:sz w:val="20"/>
          <w:szCs w:val="20"/>
        </w:rPr>
      </w:pPr>
      <w:r w:rsidRPr="00992A35">
        <w:rPr>
          <w:rFonts w:ascii="Times New Roman" w:hAnsi="Times New Roman" w:cs="Times New Roman"/>
          <w:b/>
          <w:noProof/>
          <w:sz w:val="20"/>
          <w:szCs w:val="20"/>
          <w:lang w:val="ru-RU" w:eastAsia="ru-RU"/>
        </w:rPr>
        <w:lastRenderedPageBreak/>
        <w:drawing>
          <wp:inline distT="0" distB="0" distL="0" distR="0">
            <wp:extent cx="6120765" cy="3797170"/>
            <wp:effectExtent l="19050" t="0" r="13335" b="0"/>
            <wp:docPr id="59"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707AF" w:rsidRPr="006F1077" w:rsidRDefault="00992A35" w:rsidP="006F1077">
      <w:pPr>
        <w:ind w:firstLine="708"/>
        <w:jc w:val="center"/>
        <w:rPr>
          <w:rFonts w:ascii="Times New Roman" w:hAnsi="Times New Roman" w:cs="Times New Roman"/>
          <w:b/>
          <w:sz w:val="20"/>
          <w:szCs w:val="20"/>
        </w:rPr>
      </w:pPr>
      <w:r>
        <w:rPr>
          <w:rFonts w:ascii="Times New Roman" w:hAnsi="Times New Roman" w:cs="Times New Roman"/>
          <w:b/>
          <w:sz w:val="20"/>
          <w:szCs w:val="20"/>
        </w:rPr>
        <w:t>Малюнок 1</w:t>
      </w:r>
      <w:r w:rsidR="00606106">
        <w:rPr>
          <w:rFonts w:ascii="Times New Roman" w:hAnsi="Times New Roman" w:cs="Times New Roman"/>
          <w:b/>
          <w:sz w:val="20"/>
          <w:szCs w:val="20"/>
        </w:rPr>
        <w:t>4</w:t>
      </w:r>
      <w:r w:rsidR="003C7F41">
        <w:rPr>
          <w:rFonts w:ascii="Times New Roman" w:hAnsi="Times New Roman" w:cs="Times New Roman"/>
          <w:b/>
          <w:sz w:val="20"/>
          <w:szCs w:val="20"/>
        </w:rPr>
        <w:t>.</w:t>
      </w:r>
      <w:r>
        <w:rPr>
          <w:rFonts w:ascii="Times New Roman" w:hAnsi="Times New Roman" w:cs="Times New Roman"/>
          <w:b/>
          <w:sz w:val="20"/>
          <w:szCs w:val="20"/>
        </w:rPr>
        <w:t xml:space="preserve"> Територія Костянтинівської громади в розрізі призначення земель</w:t>
      </w:r>
      <w:r w:rsidR="001707AF">
        <w:rPr>
          <w:rFonts w:ascii="Times New Roman" w:hAnsi="Times New Roman" w:cs="Times New Roman"/>
          <w:b/>
          <w:sz w:val="20"/>
          <w:szCs w:val="20"/>
        </w:rPr>
        <w:t>, %</w:t>
      </w:r>
      <w:bookmarkStart w:id="12" w:name="bookmark19"/>
      <w:bookmarkStart w:id="13" w:name="bookmark20"/>
    </w:p>
    <w:p w:rsidR="001707AF" w:rsidRPr="001707AF" w:rsidRDefault="001707AF" w:rsidP="001707AF">
      <w:pPr>
        <w:pStyle w:val="40"/>
        <w:keepNext/>
        <w:keepLines/>
        <w:shd w:val="clear" w:color="auto" w:fill="auto"/>
        <w:spacing w:before="0" w:after="80" w:line="220" w:lineRule="exact"/>
        <w:ind w:left="20"/>
        <w:jc w:val="center"/>
        <w:rPr>
          <w:sz w:val="24"/>
          <w:szCs w:val="24"/>
        </w:rPr>
      </w:pPr>
      <w:r w:rsidRPr="001707AF">
        <w:rPr>
          <w:sz w:val="24"/>
          <w:szCs w:val="24"/>
        </w:rPr>
        <w:t>1.3.2</w:t>
      </w:r>
      <w:r w:rsidR="000B2660">
        <w:rPr>
          <w:sz w:val="24"/>
          <w:szCs w:val="24"/>
        </w:rPr>
        <w:t>.</w:t>
      </w:r>
      <w:r w:rsidRPr="001707AF">
        <w:rPr>
          <w:sz w:val="24"/>
          <w:szCs w:val="24"/>
        </w:rPr>
        <w:t xml:space="preserve"> Корисні копалини</w:t>
      </w:r>
      <w:bookmarkEnd w:id="12"/>
      <w:bookmarkEnd w:id="13"/>
    </w:p>
    <w:p w:rsidR="001707AF" w:rsidRPr="001707AF" w:rsidRDefault="001707AF" w:rsidP="006F1077">
      <w:pPr>
        <w:pStyle w:val="a7"/>
        <w:shd w:val="clear" w:color="auto" w:fill="auto"/>
        <w:spacing w:before="0" w:after="120" w:line="276" w:lineRule="auto"/>
        <w:ind w:left="20" w:right="-284" w:firstLine="688"/>
        <w:jc w:val="both"/>
        <w:rPr>
          <w:rFonts w:ascii="Times New Roman" w:hAnsi="Times New Roman" w:cs="Times New Roman"/>
          <w:sz w:val="24"/>
          <w:szCs w:val="24"/>
        </w:rPr>
      </w:pPr>
      <w:r w:rsidRPr="001707AF">
        <w:rPr>
          <w:rFonts w:ascii="Times New Roman" w:hAnsi="Times New Roman" w:cs="Times New Roman"/>
          <w:sz w:val="24"/>
          <w:szCs w:val="24"/>
        </w:rPr>
        <w:t xml:space="preserve">Надра Донецької області багаті на різноманітні корисні копалини, з яких найбільше значення має кам'яне вугілля (Донецький вугільний басейн). Значні запаси кам'яної солі (Артемівське та Слов'янське родовища). Мінерально-сировинна база промисловості будівельних матеріалів і чорної металургії представлена значними родовищами доломітів, вапняків (флюсових і будівельних - Докучаєвськ, Комсомольське, </w:t>
      </w:r>
      <w:proofErr w:type="spellStart"/>
      <w:r w:rsidRPr="001707AF">
        <w:rPr>
          <w:rFonts w:ascii="Times New Roman" w:hAnsi="Times New Roman" w:cs="Times New Roman"/>
          <w:sz w:val="24"/>
          <w:szCs w:val="24"/>
        </w:rPr>
        <w:t>смт</w:t>
      </w:r>
      <w:proofErr w:type="spellEnd"/>
      <w:r w:rsidR="003C7F41">
        <w:rPr>
          <w:rFonts w:ascii="Times New Roman" w:hAnsi="Times New Roman" w:cs="Times New Roman"/>
          <w:sz w:val="24"/>
          <w:szCs w:val="24"/>
        </w:rPr>
        <w:t>.</w:t>
      </w:r>
      <w:r w:rsidRPr="001707AF">
        <w:rPr>
          <w:rFonts w:ascii="Times New Roman" w:hAnsi="Times New Roman" w:cs="Times New Roman"/>
          <w:sz w:val="24"/>
          <w:szCs w:val="24"/>
        </w:rPr>
        <w:t xml:space="preserve"> Новотроїцьке), вогнетривких (</w:t>
      </w:r>
      <w:proofErr w:type="spellStart"/>
      <w:r w:rsidRPr="001707AF">
        <w:rPr>
          <w:rFonts w:ascii="Times New Roman" w:hAnsi="Times New Roman" w:cs="Times New Roman"/>
          <w:sz w:val="24"/>
          <w:szCs w:val="24"/>
        </w:rPr>
        <w:t>Часівоярське</w:t>
      </w:r>
      <w:proofErr w:type="spellEnd"/>
      <w:r w:rsidRPr="001707AF">
        <w:rPr>
          <w:rFonts w:ascii="Times New Roman" w:hAnsi="Times New Roman" w:cs="Times New Roman"/>
          <w:sz w:val="24"/>
          <w:szCs w:val="24"/>
        </w:rPr>
        <w:t xml:space="preserve">, </w:t>
      </w:r>
      <w:proofErr w:type="spellStart"/>
      <w:r w:rsidRPr="001707AF">
        <w:rPr>
          <w:rFonts w:ascii="Times New Roman" w:hAnsi="Times New Roman" w:cs="Times New Roman"/>
          <w:sz w:val="24"/>
          <w:szCs w:val="24"/>
        </w:rPr>
        <w:t>Новорайське</w:t>
      </w:r>
      <w:proofErr w:type="spellEnd"/>
      <w:r w:rsidRPr="001707AF">
        <w:rPr>
          <w:rFonts w:ascii="Times New Roman" w:hAnsi="Times New Roman" w:cs="Times New Roman"/>
          <w:sz w:val="24"/>
          <w:szCs w:val="24"/>
        </w:rPr>
        <w:t xml:space="preserve">, Андріївське, </w:t>
      </w:r>
      <w:proofErr w:type="spellStart"/>
      <w:r w:rsidRPr="001707AF">
        <w:rPr>
          <w:rFonts w:ascii="Times New Roman" w:hAnsi="Times New Roman" w:cs="Times New Roman"/>
          <w:sz w:val="24"/>
          <w:szCs w:val="24"/>
        </w:rPr>
        <w:t>Затишанське</w:t>
      </w:r>
      <w:proofErr w:type="spellEnd"/>
      <w:r w:rsidRPr="001707AF">
        <w:rPr>
          <w:rFonts w:ascii="Times New Roman" w:hAnsi="Times New Roman" w:cs="Times New Roman"/>
          <w:sz w:val="24"/>
          <w:szCs w:val="24"/>
        </w:rPr>
        <w:t xml:space="preserve">, </w:t>
      </w:r>
      <w:proofErr w:type="spellStart"/>
      <w:r w:rsidRPr="001707AF">
        <w:rPr>
          <w:rFonts w:ascii="Times New Roman" w:hAnsi="Times New Roman" w:cs="Times New Roman"/>
          <w:sz w:val="24"/>
          <w:szCs w:val="24"/>
        </w:rPr>
        <w:t>Веселівське</w:t>
      </w:r>
      <w:proofErr w:type="spellEnd"/>
      <w:r w:rsidRPr="001707AF">
        <w:rPr>
          <w:rFonts w:ascii="Times New Roman" w:hAnsi="Times New Roman" w:cs="Times New Roman"/>
          <w:sz w:val="24"/>
          <w:szCs w:val="24"/>
        </w:rPr>
        <w:t xml:space="preserve">, Жовтневе родовища) і пластичних (керамічні - Краматорське, </w:t>
      </w:r>
      <w:proofErr w:type="spellStart"/>
      <w:r w:rsidRPr="001707AF">
        <w:rPr>
          <w:rFonts w:ascii="Times New Roman" w:hAnsi="Times New Roman" w:cs="Times New Roman"/>
          <w:sz w:val="24"/>
          <w:szCs w:val="24"/>
        </w:rPr>
        <w:t>Курдюмівське</w:t>
      </w:r>
      <w:proofErr w:type="spellEnd"/>
      <w:r w:rsidRPr="001707AF">
        <w:rPr>
          <w:rFonts w:ascii="Times New Roman" w:hAnsi="Times New Roman" w:cs="Times New Roman"/>
          <w:sz w:val="24"/>
          <w:szCs w:val="24"/>
        </w:rPr>
        <w:t xml:space="preserve">, </w:t>
      </w:r>
      <w:proofErr w:type="spellStart"/>
      <w:r w:rsidRPr="001707AF">
        <w:rPr>
          <w:rFonts w:ascii="Times New Roman" w:hAnsi="Times New Roman" w:cs="Times New Roman"/>
          <w:sz w:val="24"/>
          <w:szCs w:val="24"/>
        </w:rPr>
        <w:t>Кутейніковське</w:t>
      </w:r>
      <w:proofErr w:type="spellEnd"/>
      <w:r w:rsidRPr="001707AF">
        <w:rPr>
          <w:rFonts w:ascii="Times New Roman" w:hAnsi="Times New Roman" w:cs="Times New Roman"/>
          <w:sz w:val="24"/>
          <w:szCs w:val="24"/>
        </w:rPr>
        <w:t xml:space="preserve">, Миколаївське, </w:t>
      </w:r>
      <w:proofErr w:type="spellStart"/>
      <w:r w:rsidRPr="001707AF">
        <w:rPr>
          <w:rFonts w:ascii="Times New Roman" w:hAnsi="Times New Roman" w:cs="Times New Roman"/>
          <w:sz w:val="24"/>
          <w:szCs w:val="24"/>
        </w:rPr>
        <w:t>Рай-Олександрівське</w:t>
      </w:r>
      <w:proofErr w:type="spellEnd"/>
      <w:r w:rsidRPr="001707AF">
        <w:rPr>
          <w:rFonts w:ascii="Times New Roman" w:hAnsi="Times New Roman" w:cs="Times New Roman"/>
          <w:sz w:val="24"/>
          <w:szCs w:val="24"/>
        </w:rPr>
        <w:t xml:space="preserve">, </w:t>
      </w:r>
      <w:proofErr w:type="spellStart"/>
      <w:r w:rsidRPr="001707AF">
        <w:rPr>
          <w:rFonts w:ascii="Times New Roman" w:hAnsi="Times New Roman" w:cs="Times New Roman"/>
          <w:sz w:val="24"/>
          <w:szCs w:val="24"/>
        </w:rPr>
        <w:t>Никифоровске</w:t>
      </w:r>
      <w:proofErr w:type="spellEnd"/>
      <w:r w:rsidRPr="001707AF">
        <w:rPr>
          <w:rFonts w:ascii="Times New Roman" w:hAnsi="Times New Roman" w:cs="Times New Roman"/>
          <w:sz w:val="24"/>
          <w:szCs w:val="24"/>
        </w:rPr>
        <w:t xml:space="preserve"> родовища) глин, мергелю (</w:t>
      </w:r>
      <w:proofErr w:type="spellStart"/>
      <w:r w:rsidRPr="001707AF">
        <w:rPr>
          <w:rFonts w:ascii="Times New Roman" w:hAnsi="Times New Roman" w:cs="Times New Roman"/>
          <w:sz w:val="24"/>
          <w:szCs w:val="24"/>
        </w:rPr>
        <w:t>Амвросіївський</w:t>
      </w:r>
      <w:proofErr w:type="spellEnd"/>
      <w:r w:rsidRPr="001707AF">
        <w:rPr>
          <w:rFonts w:ascii="Times New Roman" w:hAnsi="Times New Roman" w:cs="Times New Roman"/>
          <w:sz w:val="24"/>
          <w:szCs w:val="24"/>
        </w:rPr>
        <w:t xml:space="preserve"> район, </w:t>
      </w:r>
      <w:proofErr w:type="spellStart"/>
      <w:r w:rsidRPr="001707AF">
        <w:rPr>
          <w:rFonts w:ascii="Times New Roman" w:hAnsi="Times New Roman" w:cs="Times New Roman"/>
          <w:sz w:val="24"/>
          <w:szCs w:val="24"/>
        </w:rPr>
        <w:t>район</w:t>
      </w:r>
      <w:proofErr w:type="spellEnd"/>
      <w:r w:rsidRPr="001707AF">
        <w:rPr>
          <w:rFonts w:ascii="Times New Roman" w:hAnsi="Times New Roman" w:cs="Times New Roman"/>
          <w:sz w:val="24"/>
          <w:szCs w:val="24"/>
        </w:rPr>
        <w:t xml:space="preserve"> міста Краматорська), гіпсу (</w:t>
      </w:r>
      <w:proofErr w:type="spellStart"/>
      <w:r w:rsidRPr="001707AF">
        <w:rPr>
          <w:rFonts w:ascii="Times New Roman" w:hAnsi="Times New Roman" w:cs="Times New Roman"/>
          <w:sz w:val="24"/>
          <w:szCs w:val="24"/>
        </w:rPr>
        <w:t>Бахмутський</w:t>
      </w:r>
      <w:proofErr w:type="spellEnd"/>
      <w:r w:rsidRPr="001707AF">
        <w:rPr>
          <w:rFonts w:ascii="Times New Roman" w:hAnsi="Times New Roman" w:cs="Times New Roman"/>
          <w:sz w:val="24"/>
          <w:szCs w:val="24"/>
        </w:rPr>
        <w:t xml:space="preserve"> район), каолінів (Володимирське, </w:t>
      </w:r>
      <w:proofErr w:type="spellStart"/>
      <w:r w:rsidRPr="001707AF">
        <w:rPr>
          <w:rFonts w:ascii="Times New Roman" w:hAnsi="Times New Roman" w:cs="Times New Roman"/>
          <w:sz w:val="24"/>
          <w:szCs w:val="24"/>
        </w:rPr>
        <w:t>Богороди</w:t>
      </w:r>
      <w:r w:rsidR="003C7F41">
        <w:rPr>
          <w:rFonts w:ascii="Times New Roman" w:hAnsi="Times New Roman" w:cs="Times New Roman"/>
          <w:sz w:val="24"/>
          <w:szCs w:val="24"/>
        </w:rPr>
        <w:t>цьке</w:t>
      </w:r>
      <w:proofErr w:type="spellEnd"/>
      <w:r w:rsidR="003C7F41">
        <w:rPr>
          <w:rFonts w:ascii="Times New Roman" w:hAnsi="Times New Roman" w:cs="Times New Roman"/>
          <w:sz w:val="24"/>
          <w:szCs w:val="24"/>
        </w:rPr>
        <w:t xml:space="preserve">, </w:t>
      </w:r>
      <w:proofErr w:type="spellStart"/>
      <w:r w:rsidR="003C7F41">
        <w:rPr>
          <w:rFonts w:ascii="Times New Roman" w:hAnsi="Times New Roman" w:cs="Times New Roman"/>
          <w:sz w:val="24"/>
          <w:szCs w:val="24"/>
        </w:rPr>
        <w:t>Катеріні</w:t>
      </w:r>
      <w:r w:rsidRPr="001707AF">
        <w:rPr>
          <w:rFonts w:ascii="Times New Roman" w:hAnsi="Times New Roman" w:cs="Times New Roman"/>
          <w:sz w:val="24"/>
          <w:szCs w:val="24"/>
        </w:rPr>
        <w:t>вське</w:t>
      </w:r>
      <w:proofErr w:type="spellEnd"/>
      <w:r w:rsidRPr="001707AF">
        <w:rPr>
          <w:rFonts w:ascii="Times New Roman" w:hAnsi="Times New Roman" w:cs="Times New Roman"/>
          <w:sz w:val="24"/>
          <w:szCs w:val="24"/>
        </w:rPr>
        <w:t xml:space="preserve"> родовища), крейди (Слов'янський район), будівельних і кварцових пісків, граніту, кварциту тощо. Є також ртуть (</w:t>
      </w:r>
      <w:proofErr w:type="spellStart"/>
      <w:r w:rsidRPr="001707AF">
        <w:rPr>
          <w:rFonts w:ascii="Times New Roman" w:hAnsi="Times New Roman" w:cs="Times New Roman"/>
          <w:sz w:val="24"/>
          <w:szCs w:val="24"/>
        </w:rPr>
        <w:t>Микитівське</w:t>
      </w:r>
      <w:proofErr w:type="spellEnd"/>
      <w:r w:rsidRPr="001707AF">
        <w:rPr>
          <w:rFonts w:ascii="Times New Roman" w:hAnsi="Times New Roman" w:cs="Times New Roman"/>
          <w:sz w:val="24"/>
          <w:szCs w:val="24"/>
        </w:rPr>
        <w:t xml:space="preserve"> родовище), мінеральні фарби (</w:t>
      </w:r>
      <w:proofErr w:type="spellStart"/>
      <w:r w:rsidRPr="001707AF">
        <w:rPr>
          <w:rFonts w:ascii="Times New Roman" w:hAnsi="Times New Roman" w:cs="Times New Roman"/>
          <w:sz w:val="24"/>
          <w:szCs w:val="24"/>
        </w:rPr>
        <w:t>охра</w:t>
      </w:r>
      <w:proofErr w:type="spellEnd"/>
      <w:r w:rsidRPr="001707AF">
        <w:rPr>
          <w:rFonts w:ascii="Times New Roman" w:hAnsi="Times New Roman" w:cs="Times New Roman"/>
          <w:sz w:val="24"/>
          <w:szCs w:val="24"/>
        </w:rPr>
        <w:t xml:space="preserve"> - </w:t>
      </w:r>
      <w:proofErr w:type="spellStart"/>
      <w:r w:rsidRPr="001707AF">
        <w:rPr>
          <w:rFonts w:ascii="Times New Roman" w:hAnsi="Times New Roman" w:cs="Times New Roman"/>
          <w:sz w:val="24"/>
          <w:szCs w:val="24"/>
        </w:rPr>
        <w:t>Яснополянсь</w:t>
      </w:r>
      <w:r w:rsidR="003C7F41">
        <w:rPr>
          <w:rFonts w:ascii="Times New Roman" w:hAnsi="Times New Roman" w:cs="Times New Roman"/>
          <w:sz w:val="24"/>
          <w:szCs w:val="24"/>
        </w:rPr>
        <w:t>ке</w:t>
      </w:r>
      <w:proofErr w:type="spellEnd"/>
      <w:r w:rsidR="003C7F41">
        <w:rPr>
          <w:rFonts w:ascii="Times New Roman" w:hAnsi="Times New Roman" w:cs="Times New Roman"/>
          <w:sz w:val="24"/>
          <w:szCs w:val="24"/>
        </w:rPr>
        <w:t xml:space="preserve"> родовище), фосфорити (</w:t>
      </w:r>
      <w:proofErr w:type="spellStart"/>
      <w:r w:rsidR="003C7F41">
        <w:rPr>
          <w:rFonts w:ascii="Times New Roman" w:hAnsi="Times New Roman" w:cs="Times New Roman"/>
          <w:sz w:val="24"/>
          <w:szCs w:val="24"/>
        </w:rPr>
        <w:t>Резнікі</w:t>
      </w:r>
      <w:r w:rsidRPr="001707AF">
        <w:rPr>
          <w:rFonts w:ascii="Times New Roman" w:hAnsi="Times New Roman" w:cs="Times New Roman"/>
          <w:sz w:val="24"/>
          <w:szCs w:val="24"/>
        </w:rPr>
        <w:t>вс</w:t>
      </w:r>
      <w:r w:rsidR="003C7F41">
        <w:rPr>
          <w:rFonts w:ascii="Times New Roman" w:hAnsi="Times New Roman" w:cs="Times New Roman"/>
          <w:sz w:val="24"/>
          <w:szCs w:val="24"/>
        </w:rPr>
        <w:t>ь</w:t>
      </w:r>
      <w:r w:rsidR="006F1077">
        <w:rPr>
          <w:rFonts w:ascii="Times New Roman" w:hAnsi="Times New Roman" w:cs="Times New Roman"/>
          <w:sz w:val="24"/>
          <w:szCs w:val="24"/>
        </w:rPr>
        <w:t>ке</w:t>
      </w:r>
      <w:proofErr w:type="spellEnd"/>
      <w:r w:rsidR="006F1077">
        <w:rPr>
          <w:rFonts w:ascii="Times New Roman" w:hAnsi="Times New Roman" w:cs="Times New Roman"/>
          <w:sz w:val="24"/>
          <w:szCs w:val="24"/>
        </w:rPr>
        <w:t xml:space="preserve"> й </w:t>
      </w:r>
      <w:proofErr w:type="spellStart"/>
      <w:r w:rsidR="006F1077">
        <w:rPr>
          <w:rFonts w:ascii="Times New Roman" w:hAnsi="Times New Roman" w:cs="Times New Roman"/>
          <w:sz w:val="24"/>
          <w:szCs w:val="24"/>
        </w:rPr>
        <w:t>Осикі</w:t>
      </w:r>
      <w:r w:rsidRPr="001707AF">
        <w:rPr>
          <w:rFonts w:ascii="Times New Roman" w:hAnsi="Times New Roman" w:cs="Times New Roman"/>
          <w:sz w:val="24"/>
          <w:szCs w:val="24"/>
        </w:rPr>
        <w:t>вс</w:t>
      </w:r>
      <w:r w:rsidR="006F1077">
        <w:rPr>
          <w:rFonts w:ascii="Times New Roman" w:hAnsi="Times New Roman" w:cs="Times New Roman"/>
          <w:sz w:val="24"/>
          <w:szCs w:val="24"/>
        </w:rPr>
        <w:t>ьк</w:t>
      </w:r>
      <w:r w:rsidRPr="001707AF">
        <w:rPr>
          <w:rFonts w:ascii="Times New Roman" w:hAnsi="Times New Roman" w:cs="Times New Roman"/>
          <w:sz w:val="24"/>
          <w:szCs w:val="24"/>
        </w:rPr>
        <w:t>е</w:t>
      </w:r>
      <w:proofErr w:type="spellEnd"/>
      <w:r w:rsidRPr="001707AF">
        <w:rPr>
          <w:rFonts w:ascii="Times New Roman" w:hAnsi="Times New Roman" w:cs="Times New Roman"/>
          <w:sz w:val="24"/>
          <w:szCs w:val="24"/>
        </w:rPr>
        <w:t xml:space="preserve"> родовища), азбест, графіт (у Приазов'ї). Виявлені родовища нефелінових сієнітів (алюмінієві руди </w:t>
      </w:r>
      <w:r w:rsidR="006F1077" w:rsidRPr="001707AF">
        <w:rPr>
          <w:rFonts w:ascii="Times New Roman" w:hAnsi="Times New Roman" w:cs="Times New Roman"/>
          <w:sz w:val="24"/>
          <w:szCs w:val="24"/>
        </w:rPr>
        <w:t>-</w:t>
      </w:r>
      <w:r w:rsidRPr="001707AF">
        <w:rPr>
          <w:rFonts w:ascii="Times New Roman" w:hAnsi="Times New Roman" w:cs="Times New Roman"/>
          <w:sz w:val="24"/>
          <w:szCs w:val="24"/>
        </w:rPr>
        <w:t xml:space="preserve"> </w:t>
      </w:r>
      <w:proofErr w:type="spellStart"/>
      <w:r w:rsidRPr="001707AF">
        <w:rPr>
          <w:rFonts w:ascii="Times New Roman" w:hAnsi="Times New Roman" w:cs="Times New Roman"/>
          <w:sz w:val="24"/>
          <w:szCs w:val="24"/>
        </w:rPr>
        <w:t>Калініно-Шевченківське</w:t>
      </w:r>
      <w:proofErr w:type="spellEnd"/>
      <w:r w:rsidRPr="001707AF">
        <w:rPr>
          <w:rFonts w:ascii="Times New Roman" w:hAnsi="Times New Roman" w:cs="Times New Roman"/>
          <w:sz w:val="24"/>
          <w:szCs w:val="24"/>
        </w:rPr>
        <w:t xml:space="preserve"> родовище), флюориту (плавиковий шпат - </w:t>
      </w:r>
      <w:proofErr w:type="spellStart"/>
      <w:r w:rsidRPr="001707AF">
        <w:rPr>
          <w:rFonts w:ascii="Times New Roman" w:hAnsi="Times New Roman" w:cs="Times New Roman"/>
          <w:sz w:val="24"/>
          <w:szCs w:val="24"/>
        </w:rPr>
        <w:t>Петрово-Гнутовське</w:t>
      </w:r>
      <w:proofErr w:type="spellEnd"/>
      <w:r w:rsidRPr="001707AF">
        <w:rPr>
          <w:rFonts w:ascii="Times New Roman" w:hAnsi="Times New Roman" w:cs="Times New Roman"/>
          <w:sz w:val="24"/>
          <w:szCs w:val="24"/>
        </w:rPr>
        <w:t xml:space="preserve"> й </w:t>
      </w:r>
      <w:proofErr w:type="spellStart"/>
      <w:r w:rsidRPr="001707AF">
        <w:rPr>
          <w:rFonts w:ascii="Times New Roman" w:hAnsi="Times New Roman" w:cs="Times New Roman"/>
          <w:sz w:val="24"/>
          <w:szCs w:val="24"/>
        </w:rPr>
        <w:t>Покров-Кириївське</w:t>
      </w:r>
      <w:proofErr w:type="spellEnd"/>
      <w:r w:rsidRPr="001707AF">
        <w:rPr>
          <w:rFonts w:ascii="Times New Roman" w:hAnsi="Times New Roman" w:cs="Times New Roman"/>
          <w:sz w:val="24"/>
          <w:szCs w:val="24"/>
        </w:rPr>
        <w:t xml:space="preserve"> родовища), вермикуліту (</w:t>
      </w:r>
      <w:proofErr w:type="spellStart"/>
      <w:r w:rsidRPr="001707AF">
        <w:rPr>
          <w:rFonts w:ascii="Times New Roman" w:hAnsi="Times New Roman" w:cs="Times New Roman"/>
          <w:sz w:val="24"/>
          <w:szCs w:val="24"/>
        </w:rPr>
        <w:t>Кам'яномогільне</w:t>
      </w:r>
      <w:proofErr w:type="spellEnd"/>
      <w:r w:rsidRPr="001707AF">
        <w:rPr>
          <w:rFonts w:ascii="Times New Roman" w:hAnsi="Times New Roman" w:cs="Times New Roman"/>
          <w:sz w:val="24"/>
          <w:szCs w:val="24"/>
        </w:rPr>
        <w:t xml:space="preserve"> родовище), залізних руд (в Приазов'ї), </w:t>
      </w:r>
      <w:proofErr w:type="spellStart"/>
      <w:r w:rsidRPr="001707AF">
        <w:rPr>
          <w:rFonts w:ascii="Times New Roman" w:hAnsi="Times New Roman" w:cs="Times New Roman"/>
          <w:sz w:val="24"/>
          <w:szCs w:val="24"/>
        </w:rPr>
        <w:t>давсоніта</w:t>
      </w:r>
      <w:proofErr w:type="spellEnd"/>
      <w:r w:rsidRPr="001707AF">
        <w:rPr>
          <w:rFonts w:ascii="Times New Roman" w:hAnsi="Times New Roman" w:cs="Times New Roman"/>
          <w:sz w:val="24"/>
          <w:szCs w:val="24"/>
        </w:rPr>
        <w:t xml:space="preserve">, калійних солей (поряд зі Слов'янськом). </w:t>
      </w:r>
      <w:r>
        <w:rPr>
          <w:rFonts w:ascii="Times New Roman" w:hAnsi="Times New Roman" w:cs="Times New Roman"/>
          <w:sz w:val="24"/>
          <w:szCs w:val="24"/>
        </w:rPr>
        <w:t xml:space="preserve"> </w:t>
      </w:r>
      <w:r w:rsidRPr="001707AF">
        <w:rPr>
          <w:rFonts w:ascii="Times New Roman" w:hAnsi="Times New Roman" w:cs="Times New Roman"/>
          <w:sz w:val="24"/>
          <w:szCs w:val="24"/>
        </w:rPr>
        <w:t xml:space="preserve">У північних районах області знаходиться </w:t>
      </w:r>
      <w:proofErr w:type="spellStart"/>
      <w:r w:rsidRPr="001707AF">
        <w:rPr>
          <w:rFonts w:ascii="Times New Roman" w:hAnsi="Times New Roman" w:cs="Times New Roman"/>
          <w:sz w:val="24"/>
          <w:szCs w:val="24"/>
        </w:rPr>
        <w:t>Дніпровсько-</w:t>
      </w:r>
      <w:proofErr w:type="spellEnd"/>
      <w:r w:rsidRPr="001707AF">
        <w:rPr>
          <w:rFonts w:ascii="Times New Roman" w:hAnsi="Times New Roman" w:cs="Times New Roman"/>
          <w:sz w:val="24"/>
          <w:szCs w:val="24"/>
        </w:rPr>
        <w:t xml:space="preserve"> Донецька нафтогазоносна область (в області практично не розробляється), у південних, на узбережжі моря - Причорноморсько-Кримська нафтогазоносна провінція. Експлуатуються джерела мінераль</w:t>
      </w:r>
      <w:r w:rsidR="0075361E">
        <w:rPr>
          <w:rFonts w:ascii="Times New Roman" w:hAnsi="Times New Roman" w:cs="Times New Roman"/>
          <w:sz w:val="24"/>
          <w:szCs w:val="24"/>
        </w:rPr>
        <w:t>них вод (</w:t>
      </w:r>
      <w:proofErr w:type="spellStart"/>
      <w:r w:rsidR="0075361E">
        <w:rPr>
          <w:rFonts w:ascii="Times New Roman" w:hAnsi="Times New Roman" w:cs="Times New Roman"/>
          <w:sz w:val="24"/>
          <w:szCs w:val="24"/>
        </w:rPr>
        <w:t>Добропілля</w:t>
      </w:r>
      <w:proofErr w:type="spellEnd"/>
      <w:r w:rsidRPr="001707AF">
        <w:rPr>
          <w:rFonts w:ascii="Times New Roman" w:hAnsi="Times New Roman" w:cs="Times New Roman"/>
          <w:sz w:val="24"/>
          <w:szCs w:val="24"/>
        </w:rPr>
        <w:t>).</w:t>
      </w:r>
    </w:p>
    <w:p w:rsidR="00606106" w:rsidRDefault="00606106" w:rsidP="00606106">
      <w:pPr>
        <w:pStyle w:val="32"/>
        <w:keepNext/>
        <w:keepLines/>
        <w:shd w:val="clear" w:color="auto" w:fill="auto"/>
        <w:spacing w:before="0" w:after="0" w:line="398" w:lineRule="exact"/>
        <w:ind w:left="20" w:right="1240" w:firstLine="1240"/>
        <w:jc w:val="center"/>
      </w:pPr>
      <w:bookmarkStart w:id="14" w:name="bookmark22"/>
      <w:bookmarkStart w:id="15" w:name="bookmark23"/>
      <w:r>
        <w:t>1.4</w:t>
      </w:r>
      <w:r w:rsidR="006F1077">
        <w:t>.</w:t>
      </w:r>
      <w:r>
        <w:t xml:space="preserve"> Дорожньо-транспортна інфраструктура та зв'язок </w:t>
      </w:r>
    </w:p>
    <w:p w:rsidR="00606106" w:rsidRDefault="00606106" w:rsidP="00606106">
      <w:pPr>
        <w:pStyle w:val="32"/>
        <w:keepNext/>
        <w:keepLines/>
        <w:shd w:val="clear" w:color="auto" w:fill="auto"/>
        <w:spacing w:before="0" w:after="0" w:line="398" w:lineRule="exact"/>
        <w:ind w:left="20" w:right="1240" w:firstLine="1240"/>
        <w:jc w:val="center"/>
      </w:pPr>
      <w:r>
        <w:rPr>
          <w:rStyle w:val="311pt1"/>
          <w:b/>
          <w:bCs/>
        </w:rPr>
        <w:t>1.4.1</w:t>
      </w:r>
      <w:r w:rsidR="000B2660">
        <w:rPr>
          <w:rStyle w:val="311pt1"/>
          <w:b/>
          <w:bCs/>
        </w:rPr>
        <w:t>.</w:t>
      </w:r>
      <w:r>
        <w:rPr>
          <w:rStyle w:val="311pt1"/>
          <w:b/>
          <w:bCs/>
        </w:rPr>
        <w:t xml:space="preserve"> Дорожня інфраструктура</w:t>
      </w:r>
      <w:bookmarkEnd w:id="14"/>
      <w:bookmarkEnd w:id="15"/>
    </w:p>
    <w:p w:rsidR="00606106" w:rsidRPr="00606106" w:rsidRDefault="00606106" w:rsidP="006F1077">
      <w:pPr>
        <w:pStyle w:val="a7"/>
        <w:shd w:val="clear" w:color="auto" w:fill="auto"/>
        <w:spacing w:before="0" w:line="276" w:lineRule="auto"/>
        <w:ind w:left="20" w:right="20" w:firstLine="688"/>
        <w:jc w:val="both"/>
        <w:rPr>
          <w:rFonts w:ascii="Times New Roman" w:hAnsi="Times New Roman" w:cs="Times New Roman"/>
          <w:sz w:val="24"/>
          <w:szCs w:val="24"/>
        </w:rPr>
      </w:pPr>
      <w:r w:rsidRPr="00606106">
        <w:rPr>
          <w:rFonts w:ascii="Times New Roman" w:hAnsi="Times New Roman" w:cs="Times New Roman"/>
          <w:sz w:val="24"/>
          <w:szCs w:val="24"/>
        </w:rPr>
        <w:t>Територією громади проходить автомобільний шлях національного значення Н20 (Слов'янськ - Донецьк - Маріуполь) Ця дорога з'єднуючи головну садибу громади з обласним центром (Краматорськ) та іншими промислови</w:t>
      </w:r>
      <w:r>
        <w:rPr>
          <w:rFonts w:ascii="Times New Roman" w:hAnsi="Times New Roman" w:cs="Times New Roman"/>
          <w:sz w:val="24"/>
          <w:szCs w:val="24"/>
        </w:rPr>
        <w:t>ми містами району (Дружківка</w:t>
      </w:r>
      <w:r w:rsidRPr="00606106">
        <w:rPr>
          <w:rFonts w:ascii="Times New Roman" w:hAnsi="Times New Roman" w:cs="Times New Roman"/>
          <w:sz w:val="24"/>
          <w:szCs w:val="24"/>
        </w:rPr>
        <w:t>, Слов'янськ) і об</w:t>
      </w:r>
      <w:r w:rsidR="0075361E">
        <w:rPr>
          <w:rFonts w:ascii="Times New Roman" w:hAnsi="Times New Roman" w:cs="Times New Roman"/>
          <w:sz w:val="24"/>
          <w:szCs w:val="24"/>
        </w:rPr>
        <w:t>ласті (Маріуполь, Авдіївка). В 55</w:t>
      </w:r>
      <w:r w:rsidRPr="00606106">
        <w:rPr>
          <w:rFonts w:ascii="Times New Roman" w:hAnsi="Times New Roman" w:cs="Times New Roman"/>
          <w:sz w:val="24"/>
          <w:szCs w:val="24"/>
        </w:rPr>
        <w:t xml:space="preserve"> км - міжнародний автошлях М03 (через Слов'янськ).</w:t>
      </w:r>
    </w:p>
    <w:p w:rsidR="00606106" w:rsidRPr="006F1077" w:rsidRDefault="00606106" w:rsidP="006F1077">
      <w:pPr>
        <w:pStyle w:val="a7"/>
        <w:shd w:val="clear" w:color="auto" w:fill="auto"/>
        <w:spacing w:before="0" w:after="84" w:line="240" w:lineRule="auto"/>
        <w:ind w:left="20" w:right="20" w:firstLine="688"/>
        <w:jc w:val="both"/>
        <w:rPr>
          <w:rFonts w:ascii="Times New Roman" w:hAnsi="Times New Roman" w:cs="Times New Roman"/>
          <w:sz w:val="16"/>
          <w:szCs w:val="16"/>
        </w:rPr>
      </w:pPr>
    </w:p>
    <w:p w:rsidR="00606106" w:rsidRDefault="00606106" w:rsidP="00606106">
      <w:pPr>
        <w:jc w:val="both"/>
        <w:rPr>
          <w:rFonts w:ascii="Times New Roman" w:hAnsi="Times New Roman" w:cs="Times New Roman"/>
          <w:b/>
          <w:sz w:val="20"/>
          <w:szCs w:val="20"/>
        </w:rPr>
      </w:pPr>
      <w:r w:rsidRPr="00992A35">
        <w:rPr>
          <w:rFonts w:ascii="Times New Roman" w:hAnsi="Times New Roman" w:cs="Times New Roman"/>
          <w:b/>
          <w:noProof/>
          <w:sz w:val="20"/>
          <w:szCs w:val="20"/>
          <w:lang w:val="ru-RU" w:eastAsia="ru-RU"/>
        </w:rPr>
        <w:drawing>
          <wp:inline distT="0" distB="0" distL="0" distR="0">
            <wp:extent cx="6120765" cy="3797170"/>
            <wp:effectExtent l="19050" t="0" r="13335" b="0"/>
            <wp:docPr id="61"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06106" w:rsidRDefault="00606106" w:rsidP="00606106">
      <w:pPr>
        <w:ind w:firstLine="708"/>
        <w:jc w:val="center"/>
        <w:rPr>
          <w:rFonts w:ascii="Times New Roman" w:hAnsi="Times New Roman" w:cs="Times New Roman"/>
          <w:b/>
          <w:sz w:val="20"/>
          <w:szCs w:val="20"/>
        </w:rPr>
      </w:pPr>
      <w:r>
        <w:rPr>
          <w:rFonts w:ascii="Times New Roman" w:hAnsi="Times New Roman" w:cs="Times New Roman"/>
          <w:b/>
          <w:sz w:val="20"/>
          <w:szCs w:val="20"/>
        </w:rPr>
        <w:t>Малюнок 15</w:t>
      </w:r>
      <w:r w:rsidR="00CD25A2">
        <w:rPr>
          <w:rFonts w:ascii="Times New Roman" w:hAnsi="Times New Roman" w:cs="Times New Roman"/>
          <w:b/>
          <w:sz w:val="20"/>
          <w:szCs w:val="20"/>
        </w:rPr>
        <w:t>.</w:t>
      </w:r>
      <w:r>
        <w:rPr>
          <w:rFonts w:ascii="Times New Roman" w:hAnsi="Times New Roman" w:cs="Times New Roman"/>
          <w:b/>
          <w:sz w:val="20"/>
          <w:szCs w:val="20"/>
        </w:rPr>
        <w:t xml:space="preserve"> Карта автомобільних </w:t>
      </w:r>
      <w:r w:rsidR="004C05B1">
        <w:rPr>
          <w:rFonts w:ascii="Times New Roman" w:hAnsi="Times New Roman" w:cs="Times New Roman"/>
          <w:b/>
          <w:sz w:val="20"/>
          <w:szCs w:val="20"/>
        </w:rPr>
        <w:t xml:space="preserve">і залізничних </w:t>
      </w:r>
      <w:r>
        <w:rPr>
          <w:rFonts w:ascii="Times New Roman" w:hAnsi="Times New Roman" w:cs="Times New Roman"/>
          <w:b/>
          <w:sz w:val="20"/>
          <w:szCs w:val="20"/>
        </w:rPr>
        <w:t>шляхів в Костянтинівській громаді</w:t>
      </w:r>
    </w:p>
    <w:p w:rsidR="007F321F" w:rsidRDefault="007F321F" w:rsidP="006F1077">
      <w:pPr>
        <w:pStyle w:val="a7"/>
        <w:shd w:val="clear" w:color="auto" w:fill="auto"/>
        <w:spacing w:before="114" w:line="276" w:lineRule="auto"/>
        <w:ind w:left="140" w:right="60" w:firstLine="568"/>
        <w:jc w:val="both"/>
        <w:rPr>
          <w:rFonts w:ascii="Times New Roman" w:hAnsi="Times New Roman" w:cs="Times New Roman"/>
          <w:sz w:val="24"/>
          <w:szCs w:val="24"/>
        </w:rPr>
      </w:pPr>
    </w:p>
    <w:p w:rsidR="00606106" w:rsidRPr="00606106" w:rsidRDefault="00E05855" w:rsidP="006F1077">
      <w:pPr>
        <w:pStyle w:val="a7"/>
        <w:shd w:val="clear" w:color="auto" w:fill="auto"/>
        <w:spacing w:before="114" w:line="276" w:lineRule="auto"/>
        <w:ind w:left="140" w:right="60" w:firstLine="568"/>
        <w:jc w:val="both"/>
        <w:rPr>
          <w:rFonts w:ascii="Times New Roman" w:hAnsi="Times New Roman" w:cs="Times New Roman"/>
          <w:sz w:val="24"/>
          <w:szCs w:val="24"/>
        </w:rPr>
      </w:pPr>
      <w:r>
        <w:rPr>
          <w:rFonts w:ascii="Times New Roman" w:hAnsi="Times New Roman" w:cs="Times New Roman"/>
          <w:sz w:val="24"/>
          <w:szCs w:val="24"/>
        </w:rPr>
        <w:t xml:space="preserve">Місто </w:t>
      </w:r>
      <w:r w:rsidR="004C05B1">
        <w:rPr>
          <w:rFonts w:ascii="Times New Roman" w:hAnsi="Times New Roman" w:cs="Times New Roman"/>
          <w:sz w:val="24"/>
          <w:szCs w:val="24"/>
        </w:rPr>
        <w:t>Костянтинівка</w:t>
      </w:r>
      <w:r w:rsidR="00606106" w:rsidRPr="00606106">
        <w:rPr>
          <w:rFonts w:ascii="Times New Roman" w:hAnsi="Times New Roman" w:cs="Times New Roman"/>
          <w:sz w:val="24"/>
          <w:szCs w:val="24"/>
        </w:rPr>
        <w:t xml:space="preserve"> вико</w:t>
      </w:r>
      <w:r w:rsidR="006F1077">
        <w:rPr>
          <w:rFonts w:ascii="Times New Roman" w:hAnsi="Times New Roman" w:cs="Times New Roman"/>
          <w:sz w:val="24"/>
          <w:szCs w:val="24"/>
        </w:rPr>
        <w:t>нує функції вантажно-пасажирськ</w:t>
      </w:r>
      <w:r w:rsidR="00606106" w:rsidRPr="00606106">
        <w:rPr>
          <w:rFonts w:ascii="Times New Roman" w:hAnsi="Times New Roman" w:cs="Times New Roman"/>
          <w:sz w:val="24"/>
          <w:szCs w:val="24"/>
        </w:rPr>
        <w:t xml:space="preserve">ої залізничної станції </w:t>
      </w:r>
      <w:r>
        <w:rPr>
          <w:rFonts w:ascii="Times New Roman" w:hAnsi="Times New Roman" w:cs="Times New Roman"/>
          <w:sz w:val="24"/>
          <w:szCs w:val="24"/>
        </w:rPr>
        <w:t>Костянтинівка Регіональної філії «Донецька залізниця» АТ «Укрзалізниця»</w:t>
      </w:r>
      <w:r w:rsidR="00606106" w:rsidRPr="00606106">
        <w:rPr>
          <w:rFonts w:ascii="Times New Roman" w:hAnsi="Times New Roman" w:cs="Times New Roman"/>
          <w:sz w:val="24"/>
          <w:szCs w:val="24"/>
        </w:rPr>
        <w:t xml:space="preserve"> лінії Слов'янськ - </w:t>
      </w:r>
      <w:proofErr w:type="spellStart"/>
      <w:r w:rsidR="00CD25A2">
        <w:rPr>
          <w:rFonts w:ascii="Times New Roman" w:hAnsi="Times New Roman" w:cs="Times New Roman"/>
          <w:sz w:val="24"/>
          <w:szCs w:val="24"/>
        </w:rPr>
        <w:t>Фінольна</w:t>
      </w:r>
      <w:proofErr w:type="spellEnd"/>
      <w:r w:rsidR="00CD25A2">
        <w:rPr>
          <w:rFonts w:ascii="Times New Roman" w:hAnsi="Times New Roman" w:cs="Times New Roman"/>
          <w:sz w:val="24"/>
          <w:szCs w:val="24"/>
        </w:rPr>
        <w:t>. Станція складається з трь</w:t>
      </w:r>
      <w:r w:rsidR="00606106" w:rsidRPr="00606106">
        <w:rPr>
          <w:rFonts w:ascii="Times New Roman" w:hAnsi="Times New Roman" w:cs="Times New Roman"/>
          <w:sz w:val="24"/>
          <w:szCs w:val="24"/>
        </w:rPr>
        <w:t>ох платформ Тут зупиняються пасажирські та приміські поїзди. Залізничне сполучення з'єднує громаду з рядом обл</w:t>
      </w:r>
      <w:r w:rsidR="006F1077">
        <w:rPr>
          <w:rFonts w:ascii="Times New Roman" w:hAnsi="Times New Roman" w:cs="Times New Roman"/>
          <w:sz w:val="24"/>
          <w:szCs w:val="24"/>
        </w:rPr>
        <w:t>асних центрів України, зокрема:</w:t>
      </w:r>
      <w:r w:rsidR="00606106" w:rsidRPr="00606106">
        <w:rPr>
          <w:rFonts w:ascii="Times New Roman" w:hAnsi="Times New Roman" w:cs="Times New Roman"/>
          <w:sz w:val="24"/>
          <w:szCs w:val="24"/>
        </w:rPr>
        <w:t xml:space="preserve"> Краматорськ, Одеса, Полтава, Харків, Дніпро, Івано-Франківськ, </w:t>
      </w:r>
      <w:r w:rsidR="00CD25A2">
        <w:rPr>
          <w:rFonts w:ascii="Times New Roman" w:hAnsi="Times New Roman" w:cs="Times New Roman"/>
          <w:sz w:val="24"/>
          <w:szCs w:val="24"/>
        </w:rPr>
        <w:t>Львов</w:t>
      </w:r>
      <w:r w:rsidR="00606106" w:rsidRPr="00606106">
        <w:rPr>
          <w:rFonts w:ascii="Times New Roman" w:hAnsi="Times New Roman" w:cs="Times New Roman"/>
          <w:sz w:val="24"/>
          <w:szCs w:val="24"/>
        </w:rPr>
        <w:t xml:space="preserve"> та столицею України - Києвом. </w:t>
      </w:r>
    </w:p>
    <w:p w:rsidR="00606106" w:rsidRPr="00606106" w:rsidRDefault="0075361E" w:rsidP="006F1077">
      <w:pPr>
        <w:pStyle w:val="a7"/>
        <w:shd w:val="clear" w:color="auto" w:fill="auto"/>
        <w:spacing w:before="0" w:line="276" w:lineRule="auto"/>
        <w:ind w:left="140" w:right="60" w:firstLine="568"/>
        <w:jc w:val="both"/>
        <w:rPr>
          <w:rFonts w:ascii="Times New Roman" w:hAnsi="Times New Roman" w:cs="Times New Roman"/>
          <w:sz w:val="24"/>
          <w:szCs w:val="24"/>
        </w:rPr>
      </w:pPr>
      <w:r>
        <w:rPr>
          <w:rFonts w:ascii="Times New Roman" w:hAnsi="Times New Roman" w:cs="Times New Roman"/>
          <w:sz w:val="24"/>
          <w:szCs w:val="24"/>
        </w:rPr>
        <w:t>В 3</w:t>
      </w:r>
      <w:r w:rsidR="00606106" w:rsidRPr="00606106">
        <w:rPr>
          <w:rFonts w:ascii="Times New Roman" w:hAnsi="Times New Roman" w:cs="Times New Roman"/>
          <w:sz w:val="24"/>
          <w:szCs w:val="24"/>
        </w:rPr>
        <w:t xml:space="preserve">5 км від міста знаходиться аеропорт «Краматорськ», який на теперішній час не обслуговує пасажирів. Концепцією економічного розвитку Донецької та Луганської області передбачено відновлення транспортного пасажирського та вантажного повітряного сполучення з аеропорту «Краматорськ» на умовах його спільного використання з Повітряними Силами Збройних Сил України. Проєктом передбачається реконструкція та будівництво інфраструктури, придбання необхідної техніки, її пуск, налагодження та тестування, капітальний ремонт і реконструкція терміналу, злітно-посадкової смуги, рульової доріжки та боксів для техніки. </w:t>
      </w:r>
      <w:r w:rsidR="006F1077">
        <w:rPr>
          <w:rFonts w:ascii="Times New Roman" w:hAnsi="Times New Roman" w:cs="Times New Roman"/>
          <w:sz w:val="24"/>
          <w:szCs w:val="24"/>
        </w:rPr>
        <w:t>Проє</w:t>
      </w:r>
      <w:r w:rsidR="00606106" w:rsidRPr="00606106">
        <w:rPr>
          <w:rFonts w:ascii="Times New Roman" w:hAnsi="Times New Roman" w:cs="Times New Roman"/>
          <w:sz w:val="24"/>
          <w:szCs w:val="24"/>
        </w:rPr>
        <w:t>кт передбачає підготовку перону на 4 великі літаки, рульову доріжку довжиною 1 км, злітно-посадкову смугу 2500 х 40 м.</w:t>
      </w:r>
    </w:p>
    <w:p w:rsidR="00606106" w:rsidRPr="00606106" w:rsidRDefault="00606106" w:rsidP="006F1077">
      <w:pPr>
        <w:pStyle w:val="a7"/>
        <w:shd w:val="clear" w:color="auto" w:fill="auto"/>
        <w:spacing w:before="0" w:line="276" w:lineRule="auto"/>
        <w:ind w:left="140" w:right="60" w:firstLine="568"/>
        <w:jc w:val="both"/>
        <w:rPr>
          <w:rFonts w:ascii="Times New Roman" w:hAnsi="Times New Roman" w:cs="Times New Roman"/>
          <w:sz w:val="24"/>
          <w:szCs w:val="24"/>
        </w:rPr>
      </w:pPr>
      <w:r w:rsidRPr="00606106">
        <w:rPr>
          <w:rFonts w:ascii="Times New Roman" w:hAnsi="Times New Roman" w:cs="Times New Roman"/>
          <w:sz w:val="24"/>
          <w:szCs w:val="24"/>
        </w:rPr>
        <w:t xml:space="preserve">Відбудова аеропорту «Краматорськ» може суттєво підвищити </w:t>
      </w:r>
      <w:r w:rsidR="004C05B1">
        <w:rPr>
          <w:rFonts w:ascii="Times New Roman" w:hAnsi="Times New Roman" w:cs="Times New Roman"/>
          <w:sz w:val="24"/>
          <w:szCs w:val="24"/>
        </w:rPr>
        <w:t>інвестиційну привабливість Костянтин</w:t>
      </w:r>
      <w:r w:rsidRPr="00606106">
        <w:rPr>
          <w:rFonts w:ascii="Times New Roman" w:hAnsi="Times New Roman" w:cs="Times New Roman"/>
          <w:sz w:val="24"/>
          <w:szCs w:val="24"/>
        </w:rPr>
        <w:t>івської громади, в т.ч. - як логістичного центру, враховуючи її близькість до Краматорська, наявність якісного автомобільного і залізничного сполучення.</w:t>
      </w:r>
    </w:p>
    <w:p w:rsidR="00606106" w:rsidRDefault="00606106" w:rsidP="006F1077">
      <w:pPr>
        <w:pStyle w:val="a7"/>
        <w:shd w:val="clear" w:color="auto" w:fill="auto"/>
        <w:spacing w:before="0" w:after="84" w:line="276" w:lineRule="auto"/>
        <w:ind w:left="20" w:right="20" w:firstLine="688"/>
        <w:jc w:val="both"/>
        <w:rPr>
          <w:rFonts w:ascii="Times New Roman" w:hAnsi="Times New Roman" w:cs="Times New Roman"/>
          <w:sz w:val="24"/>
          <w:szCs w:val="24"/>
        </w:rPr>
      </w:pPr>
      <w:r w:rsidRPr="00606106">
        <w:rPr>
          <w:rFonts w:ascii="Times New Roman" w:hAnsi="Times New Roman" w:cs="Times New Roman"/>
          <w:sz w:val="24"/>
          <w:szCs w:val="24"/>
        </w:rPr>
        <w:t>Крім проєкту з відбудови аеропорту в Донецькій області тривають активні роботи з будівництва та відновлення автомобільного сполучення. Завдяки цьому автомобільні шляхи національного і міжнародного значення знаходяться на високому рівні. Дороги районного і місцевого значення викликають на</w:t>
      </w:r>
      <w:r w:rsidR="004C05B1">
        <w:rPr>
          <w:rFonts w:ascii="Times New Roman" w:hAnsi="Times New Roman" w:cs="Times New Roman"/>
          <w:sz w:val="24"/>
          <w:szCs w:val="24"/>
        </w:rPr>
        <w:t>рікання. Це ж стосується і Костянтин</w:t>
      </w:r>
      <w:r w:rsidRPr="00606106">
        <w:rPr>
          <w:rFonts w:ascii="Times New Roman" w:hAnsi="Times New Roman" w:cs="Times New Roman"/>
          <w:sz w:val="24"/>
          <w:szCs w:val="24"/>
        </w:rPr>
        <w:t xml:space="preserve">івської громади. </w:t>
      </w:r>
    </w:p>
    <w:p w:rsidR="004C05B1" w:rsidRDefault="004C05B1" w:rsidP="00606106">
      <w:pPr>
        <w:pStyle w:val="a7"/>
        <w:shd w:val="clear" w:color="auto" w:fill="auto"/>
        <w:spacing w:before="0" w:after="84" w:line="250" w:lineRule="exact"/>
        <w:ind w:left="20" w:right="20" w:firstLine="688"/>
        <w:jc w:val="both"/>
        <w:rPr>
          <w:rFonts w:ascii="Times New Roman" w:hAnsi="Times New Roman" w:cs="Times New Roman"/>
          <w:sz w:val="24"/>
          <w:szCs w:val="24"/>
        </w:rPr>
      </w:pPr>
    </w:p>
    <w:p w:rsidR="004C05B1" w:rsidRPr="004C05B1" w:rsidRDefault="004C05B1" w:rsidP="00F36190">
      <w:pPr>
        <w:pStyle w:val="40"/>
        <w:keepNext/>
        <w:keepLines/>
        <w:shd w:val="clear" w:color="auto" w:fill="auto"/>
        <w:spacing w:before="0" w:after="15" w:line="276" w:lineRule="auto"/>
        <w:ind w:left="120"/>
        <w:jc w:val="center"/>
        <w:rPr>
          <w:sz w:val="24"/>
          <w:szCs w:val="24"/>
        </w:rPr>
      </w:pPr>
      <w:bookmarkStart w:id="16" w:name="bookmark26"/>
      <w:bookmarkStart w:id="17" w:name="bookmark27"/>
      <w:r w:rsidRPr="004C05B1">
        <w:rPr>
          <w:rStyle w:val="410pt"/>
          <w:b/>
          <w:bCs/>
          <w:sz w:val="24"/>
          <w:szCs w:val="24"/>
        </w:rPr>
        <w:lastRenderedPageBreak/>
        <w:t>1.4.2</w:t>
      </w:r>
      <w:r w:rsidR="00A043B3">
        <w:rPr>
          <w:rStyle w:val="410pt"/>
          <w:b/>
          <w:bCs/>
          <w:sz w:val="24"/>
          <w:szCs w:val="24"/>
        </w:rPr>
        <w:t>.</w:t>
      </w:r>
      <w:r w:rsidRPr="004C05B1">
        <w:rPr>
          <w:sz w:val="24"/>
          <w:szCs w:val="24"/>
        </w:rPr>
        <w:t xml:space="preserve"> Зв'язок</w:t>
      </w:r>
      <w:bookmarkEnd w:id="16"/>
      <w:bookmarkEnd w:id="17"/>
    </w:p>
    <w:p w:rsidR="004C05B1" w:rsidRDefault="004C05B1" w:rsidP="00F36190">
      <w:pPr>
        <w:pStyle w:val="a7"/>
        <w:shd w:val="clear" w:color="auto" w:fill="auto"/>
        <w:spacing w:before="0" w:after="120" w:line="276" w:lineRule="auto"/>
        <w:ind w:left="120" w:right="140" w:firstLine="588"/>
        <w:jc w:val="both"/>
        <w:rPr>
          <w:rFonts w:ascii="Times New Roman" w:hAnsi="Times New Roman" w:cs="Times New Roman"/>
          <w:sz w:val="24"/>
          <w:szCs w:val="24"/>
        </w:rPr>
      </w:pPr>
      <w:r w:rsidRPr="004C05B1">
        <w:rPr>
          <w:rFonts w:ascii="Times New Roman" w:hAnsi="Times New Roman" w:cs="Times New Roman"/>
          <w:sz w:val="24"/>
          <w:szCs w:val="24"/>
        </w:rPr>
        <w:t xml:space="preserve">В громаді працюють всі українські національні оператори мобільного зв'язку </w:t>
      </w:r>
      <w:r>
        <w:rPr>
          <w:rFonts w:ascii="Times New Roman" w:hAnsi="Times New Roman" w:cs="Times New Roman"/>
          <w:sz w:val="24"/>
          <w:szCs w:val="24"/>
        </w:rPr>
        <w:t>(</w:t>
      </w:r>
      <w:r>
        <w:rPr>
          <w:rFonts w:ascii="Times New Roman" w:hAnsi="Times New Roman" w:cs="Times New Roman"/>
          <w:sz w:val="24"/>
          <w:szCs w:val="24"/>
          <w:lang w:val="en-US"/>
        </w:rPr>
        <w:t>Vodafone</w:t>
      </w:r>
      <w:r>
        <w:rPr>
          <w:rFonts w:ascii="Times New Roman" w:hAnsi="Times New Roman" w:cs="Times New Roman"/>
          <w:sz w:val="24"/>
          <w:szCs w:val="24"/>
        </w:rPr>
        <w:t xml:space="preserve">, </w:t>
      </w:r>
      <w:r w:rsidR="00F36190" w:rsidRPr="00F36190">
        <w:rPr>
          <w:rFonts w:ascii="Times New Roman" w:hAnsi="Times New Roman" w:cs="Times New Roman"/>
          <w:sz w:val="24"/>
          <w:szCs w:val="24"/>
        </w:rPr>
        <w:t>К</w:t>
      </w:r>
      <w:proofErr w:type="spellStart"/>
      <w:r w:rsidR="00F36190" w:rsidRPr="00F36190">
        <w:rPr>
          <w:rFonts w:ascii="Times New Roman" w:hAnsi="Times New Roman" w:cs="Times New Roman"/>
          <w:sz w:val="24"/>
          <w:szCs w:val="24"/>
          <w:lang w:val="en-US"/>
        </w:rPr>
        <w:t>yivstar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Lifecell</w:t>
      </w:r>
      <w:proofErr w:type="spellEnd"/>
      <w:r w:rsidRPr="004C05B1">
        <w:rPr>
          <w:rFonts w:ascii="Times New Roman" w:hAnsi="Times New Roman" w:cs="Times New Roman"/>
          <w:sz w:val="24"/>
          <w:szCs w:val="24"/>
        </w:rPr>
        <w:t>), хоча відмічаються певні проблеми з їхньою роботою у віддалених селах. Зокрема, в рамках анкетного опитування, було встановлено, що існує проб</w:t>
      </w:r>
      <w:r w:rsidR="00BB0B94">
        <w:rPr>
          <w:rFonts w:ascii="Times New Roman" w:hAnsi="Times New Roman" w:cs="Times New Roman"/>
          <w:sz w:val="24"/>
          <w:szCs w:val="24"/>
        </w:rPr>
        <w:t xml:space="preserve">лема з </w:t>
      </w:r>
      <w:proofErr w:type="spellStart"/>
      <w:r w:rsidR="00BB0B94">
        <w:rPr>
          <w:rFonts w:ascii="Times New Roman" w:hAnsi="Times New Roman" w:cs="Times New Roman"/>
          <w:sz w:val="24"/>
          <w:szCs w:val="24"/>
        </w:rPr>
        <w:t>Інтернет-зв</w:t>
      </w:r>
      <w:proofErr w:type="spellEnd"/>
      <w:r w:rsidR="00F36190" w:rsidRPr="00F36190">
        <w:rPr>
          <w:rFonts w:ascii="Times New Roman" w:hAnsi="Times New Roman" w:cs="Times New Roman"/>
          <w:sz w:val="24"/>
          <w:szCs w:val="24"/>
          <w:lang w:val="ru-RU"/>
        </w:rPr>
        <w:t>’</w:t>
      </w:r>
      <w:proofErr w:type="spellStart"/>
      <w:r w:rsidR="00BB0B94">
        <w:rPr>
          <w:rFonts w:ascii="Times New Roman" w:hAnsi="Times New Roman" w:cs="Times New Roman"/>
          <w:sz w:val="24"/>
          <w:szCs w:val="24"/>
        </w:rPr>
        <w:t>язком</w:t>
      </w:r>
      <w:proofErr w:type="spellEnd"/>
      <w:r w:rsidR="00BB0B94">
        <w:rPr>
          <w:rFonts w:ascii="Times New Roman" w:hAnsi="Times New Roman" w:cs="Times New Roman"/>
          <w:sz w:val="24"/>
          <w:szCs w:val="24"/>
        </w:rPr>
        <w:t xml:space="preserve"> в селах і селищах громади. </w:t>
      </w:r>
    </w:p>
    <w:p w:rsidR="00BB0B94" w:rsidRDefault="00BB0B94" w:rsidP="004C05B1">
      <w:pPr>
        <w:pStyle w:val="a7"/>
        <w:shd w:val="clear" w:color="auto" w:fill="auto"/>
        <w:spacing w:before="0" w:after="120" w:line="250" w:lineRule="exact"/>
        <w:ind w:left="120" w:right="140" w:firstLine="588"/>
        <w:jc w:val="both"/>
        <w:rPr>
          <w:rFonts w:ascii="Times New Roman" w:hAnsi="Times New Roman" w:cs="Times New Roman"/>
          <w:sz w:val="24"/>
          <w:szCs w:val="24"/>
        </w:rPr>
      </w:pPr>
    </w:p>
    <w:p w:rsidR="00BB0B94" w:rsidRDefault="00BB0B94" w:rsidP="00BB0B94">
      <w:pPr>
        <w:pStyle w:val="32"/>
        <w:keepNext/>
        <w:keepLines/>
        <w:shd w:val="clear" w:color="auto" w:fill="auto"/>
        <w:spacing w:before="0" w:after="104" w:line="270" w:lineRule="exact"/>
        <w:ind w:left="3200"/>
      </w:pPr>
      <w:bookmarkStart w:id="18" w:name="bookmark29"/>
      <w:r>
        <w:t>1.5</w:t>
      </w:r>
      <w:r w:rsidR="00F36190" w:rsidRPr="000A32EF">
        <w:rPr>
          <w:lang w:val="ru-RU"/>
        </w:rPr>
        <w:t>.</w:t>
      </w:r>
      <w:r>
        <w:t xml:space="preserve"> Економіка громади</w:t>
      </w:r>
      <w:bookmarkEnd w:id="18"/>
    </w:p>
    <w:p w:rsidR="00BB0B94" w:rsidRDefault="00BB0B94" w:rsidP="00BB0B94">
      <w:pPr>
        <w:pStyle w:val="40"/>
        <w:keepNext/>
        <w:keepLines/>
        <w:shd w:val="clear" w:color="auto" w:fill="auto"/>
        <w:spacing w:before="0" w:after="80" w:line="220" w:lineRule="exact"/>
        <w:ind w:left="2852" w:firstLine="688"/>
      </w:pPr>
      <w:bookmarkStart w:id="19" w:name="bookmark30"/>
      <w:bookmarkStart w:id="20" w:name="bookmark31"/>
    </w:p>
    <w:p w:rsidR="00A043B3" w:rsidRDefault="00BB0B94" w:rsidP="007F321F">
      <w:pPr>
        <w:pStyle w:val="40"/>
        <w:keepNext/>
        <w:keepLines/>
        <w:shd w:val="clear" w:color="auto" w:fill="auto"/>
        <w:spacing w:before="0" w:after="80" w:line="220" w:lineRule="exact"/>
        <w:ind w:left="2852" w:firstLine="688"/>
        <w:rPr>
          <w:sz w:val="24"/>
          <w:szCs w:val="24"/>
        </w:rPr>
      </w:pPr>
      <w:r w:rsidRPr="00A043B3">
        <w:rPr>
          <w:sz w:val="24"/>
          <w:szCs w:val="24"/>
        </w:rPr>
        <w:t>1.5.1</w:t>
      </w:r>
      <w:r w:rsidR="000B2660">
        <w:rPr>
          <w:sz w:val="24"/>
          <w:szCs w:val="24"/>
        </w:rPr>
        <w:t>.</w:t>
      </w:r>
      <w:r w:rsidRPr="00A043B3">
        <w:rPr>
          <w:sz w:val="24"/>
          <w:szCs w:val="24"/>
        </w:rPr>
        <w:t xml:space="preserve"> Промисловість</w:t>
      </w:r>
      <w:bookmarkEnd w:id="19"/>
      <w:bookmarkEnd w:id="20"/>
    </w:p>
    <w:p w:rsidR="00BB0B94" w:rsidRPr="00BB0B94" w:rsidRDefault="00BB0B94" w:rsidP="00A043B3">
      <w:pPr>
        <w:pStyle w:val="a7"/>
        <w:shd w:val="clear" w:color="auto" w:fill="auto"/>
        <w:spacing w:before="0" w:after="0" w:line="276" w:lineRule="auto"/>
        <w:ind w:firstLine="688"/>
        <w:jc w:val="both"/>
        <w:rPr>
          <w:rFonts w:ascii="Times New Roman" w:hAnsi="Times New Roman" w:cs="Times New Roman"/>
          <w:sz w:val="24"/>
          <w:szCs w:val="24"/>
        </w:rPr>
      </w:pPr>
      <w:r w:rsidRPr="00BB0B94">
        <w:rPr>
          <w:rFonts w:ascii="Times New Roman" w:hAnsi="Times New Roman" w:cs="Times New Roman"/>
          <w:sz w:val="24"/>
          <w:szCs w:val="24"/>
        </w:rPr>
        <w:t>Промисловість залишається провідною галуззю економіки громади. Промисловий сектор громади конц</w:t>
      </w:r>
      <w:r>
        <w:rPr>
          <w:rFonts w:ascii="Times New Roman" w:hAnsi="Times New Roman" w:cs="Times New Roman"/>
          <w:sz w:val="24"/>
          <w:szCs w:val="24"/>
        </w:rPr>
        <w:t>ентрується у м. Костянтинівці, де діють 1</w:t>
      </w:r>
      <w:r w:rsidR="00833DB3">
        <w:rPr>
          <w:rFonts w:ascii="Times New Roman" w:hAnsi="Times New Roman" w:cs="Times New Roman"/>
          <w:sz w:val="24"/>
          <w:szCs w:val="24"/>
        </w:rPr>
        <w:t>1</w:t>
      </w:r>
      <w:r w:rsidRPr="00BB0B94">
        <w:rPr>
          <w:rFonts w:ascii="Times New Roman" w:hAnsi="Times New Roman" w:cs="Times New Roman"/>
          <w:sz w:val="24"/>
          <w:szCs w:val="24"/>
        </w:rPr>
        <w:t xml:space="preserve"> промислових підприємств, понад </w:t>
      </w:r>
      <w:r w:rsidR="00833DB3">
        <w:rPr>
          <w:rFonts w:ascii="Times New Roman" w:hAnsi="Times New Roman" w:cs="Times New Roman"/>
          <w:sz w:val="24"/>
          <w:szCs w:val="24"/>
        </w:rPr>
        <w:t xml:space="preserve">             510</w:t>
      </w:r>
      <w:r w:rsidRPr="00BB0B94">
        <w:rPr>
          <w:rFonts w:ascii="Times New Roman" w:hAnsi="Times New Roman" w:cs="Times New Roman"/>
          <w:sz w:val="24"/>
          <w:szCs w:val="24"/>
        </w:rPr>
        <w:t xml:space="preserve"> підприємств малого та середнього бізнесу. </w:t>
      </w:r>
    </w:p>
    <w:p w:rsidR="00A043B3" w:rsidRPr="007F321F" w:rsidRDefault="00A043B3" w:rsidP="00A043B3">
      <w:pPr>
        <w:pStyle w:val="a7"/>
        <w:shd w:val="clear" w:color="auto" w:fill="auto"/>
        <w:spacing w:before="0" w:after="0" w:line="276" w:lineRule="auto"/>
        <w:ind w:firstLine="588"/>
        <w:jc w:val="both"/>
        <w:rPr>
          <w:rFonts w:ascii="Times New Roman" w:hAnsi="Times New Roman" w:cs="Times New Roman"/>
          <w:sz w:val="6"/>
          <w:szCs w:val="6"/>
        </w:rPr>
      </w:pPr>
    </w:p>
    <w:p w:rsidR="00833DB3" w:rsidRDefault="00BB0B94" w:rsidP="00A043B3">
      <w:pPr>
        <w:pStyle w:val="a7"/>
        <w:shd w:val="clear" w:color="auto" w:fill="auto"/>
        <w:spacing w:before="0" w:after="0" w:line="276" w:lineRule="auto"/>
        <w:ind w:firstLine="588"/>
        <w:jc w:val="both"/>
        <w:rPr>
          <w:rFonts w:ascii="Times New Roman" w:hAnsi="Times New Roman" w:cs="Times New Roman"/>
          <w:sz w:val="24"/>
          <w:szCs w:val="24"/>
        </w:rPr>
      </w:pPr>
      <w:r w:rsidRPr="00BB0B94">
        <w:rPr>
          <w:rFonts w:ascii="Times New Roman" w:hAnsi="Times New Roman" w:cs="Times New Roman"/>
          <w:sz w:val="24"/>
          <w:szCs w:val="24"/>
        </w:rPr>
        <w:t>Обсяг реалізованої промислової продукції у відпускних ціна</w:t>
      </w:r>
      <w:r w:rsidR="00076E7B">
        <w:rPr>
          <w:rFonts w:ascii="Times New Roman" w:hAnsi="Times New Roman" w:cs="Times New Roman"/>
          <w:sz w:val="24"/>
          <w:szCs w:val="24"/>
        </w:rPr>
        <w:t>х підприємств за 2020 рік склав</w:t>
      </w:r>
      <w:r w:rsidRPr="00BB0B94">
        <w:rPr>
          <w:rFonts w:ascii="Times New Roman" w:hAnsi="Times New Roman" w:cs="Times New Roman"/>
          <w:sz w:val="24"/>
          <w:szCs w:val="24"/>
        </w:rPr>
        <w:t xml:space="preserve"> </w:t>
      </w:r>
      <w:r w:rsidR="00833DB3" w:rsidRPr="00833DB3">
        <w:rPr>
          <w:rFonts w:ascii="Times New Roman" w:hAnsi="Times New Roman" w:cs="Times New Roman"/>
          <w:sz w:val="24"/>
          <w:szCs w:val="24"/>
        </w:rPr>
        <w:t>5428,9</w:t>
      </w:r>
      <w:r w:rsidR="00833DB3" w:rsidRPr="00833DB3">
        <w:rPr>
          <w:sz w:val="24"/>
          <w:szCs w:val="24"/>
        </w:rPr>
        <w:t xml:space="preserve"> </w:t>
      </w:r>
      <w:r w:rsidRPr="00BB0B94">
        <w:rPr>
          <w:rFonts w:ascii="Times New Roman" w:hAnsi="Times New Roman" w:cs="Times New Roman"/>
          <w:sz w:val="24"/>
          <w:szCs w:val="24"/>
        </w:rPr>
        <w:t>млн. грн. з ростом до відповідного періоду попередньо</w:t>
      </w:r>
      <w:r w:rsidR="00833DB3">
        <w:rPr>
          <w:rFonts w:ascii="Times New Roman" w:hAnsi="Times New Roman" w:cs="Times New Roman"/>
          <w:sz w:val="24"/>
          <w:szCs w:val="24"/>
        </w:rPr>
        <w:t>го року на 5,7%.</w:t>
      </w:r>
    </w:p>
    <w:p w:rsidR="00A043B3" w:rsidRPr="007F321F" w:rsidRDefault="00A043B3" w:rsidP="00A043B3">
      <w:pPr>
        <w:pStyle w:val="a7"/>
        <w:shd w:val="clear" w:color="auto" w:fill="auto"/>
        <w:spacing w:before="0" w:after="0" w:line="276" w:lineRule="auto"/>
        <w:ind w:firstLine="588"/>
        <w:jc w:val="both"/>
        <w:rPr>
          <w:rFonts w:ascii="Times New Roman" w:hAnsi="Times New Roman" w:cs="Times New Roman"/>
          <w:sz w:val="6"/>
          <w:szCs w:val="6"/>
        </w:rPr>
      </w:pPr>
    </w:p>
    <w:p w:rsidR="00BB0B94" w:rsidRDefault="00833DB3" w:rsidP="00A043B3">
      <w:pPr>
        <w:pStyle w:val="a7"/>
        <w:shd w:val="clear" w:color="auto" w:fill="auto"/>
        <w:spacing w:before="0" w:after="0" w:line="276" w:lineRule="auto"/>
        <w:ind w:firstLine="588"/>
        <w:jc w:val="both"/>
        <w:rPr>
          <w:rFonts w:ascii="Times New Roman" w:hAnsi="Times New Roman" w:cs="Times New Roman"/>
          <w:sz w:val="24"/>
          <w:szCs w:val="24"/>
        </w:rPr>
      </w:pPr>
      <w:r>
        <w:rPr>
          <w:rFonts w:ascii="Times New Roman" w:hAnsi="Times New Roman" w:cs="Times New Roman"/>
          <w:sz w:val="24"/>
          <w:szCs w:val="24"/>
        </w:rPr>
        <w:t>Це становить 2</w:t>
      </w:r>
      <w:r w:rsidR="00BB0B94" w:rsidRPr="00BB0B94">
        <w:rPr>
          <w:rFonts w:ascii="Times New Roman" w:hAnsi="Times New Roman" w:cs="Times New Roman"/>
          <w:sz w:val="24"/>
          <w:szCs w:val="24"/>
        </w:rPr>
        <w:t>,4% від загального обсягу промислового виробництва області.</w:t>
      </w:r>
    </w:p>
    <w:p w:rsidR="00833DB3" w:rsidRDefault="00833DB3" w:rsidP="00833DB3">
      <w:pPr>
        <w:pStyle w:val="a7"/>
        <w:shd w:val="clear" w:color="auto" w:fill="auto"/>
        <w:spacing w:before="0" w:after="0" w:line="240" w:lineRule="auto"/>
        <w:ind w:firstLine="588"/>
        <w:jc w:val="both"/>
        <w:rPr>
          <w:rFonts w:ascii="Times New Roman" w:hAnsi="Times New Roman" w:cs="Times New Roman"/>
          <w:sz w:val="24"/>
          <w:szCs w:val="24"/>
          <w:lang w:val="ru-RU"/>
        </w:rPr>
      </w:pPr>
    </w:p>
    <w:p w:rsidR="00833DB3" w:rsidRDefault="00833DB3" w:rsidP="00833DB3">
      <w:pPr>
        <w:pStyle w:val="a7"/>
        <w:shd w:val="clear" w:color="auto" w:fill="auto"/>
        <w:spacing w:before="0" w:after="0" w:line="240" w:lineRule="auto"/>
        <w:ind w:firstLine="0"/>
        <w:jc w:val="both"/>
        <w:rPr>
          <w:rFonts w:ascii="Times New Roman" w:hAnsi="Times New Roman" w:cs="Times New Roman"/>
          <w:sz w:val="24"/>
          <w:szCs w:val="24"/>
          <w:lang w:val="ru-RU"/>
        </w:rPr>
      </w:pPr>
      <w:r w:rsidRPr="00833DB3">
        <w:rPr>
          <w:rFonts w:ascii="Times New Roman" w:hAnsi="Times New Roman" w:cs="Times New Roman"/>
          <w:noProof/>
          <w:sz w:val="24"/>
          <w:szCs w:val="24"/>
          <w:lang w:val="ru-RU" w:eastAsia="ru-RU"/>
        </w:rPr>
        <w:drawing>
          <wp:inline distT="0" distB="0" distL="0" distR="0">
            <wp:extent cx="5813425" cy="3040380"/>
            <wp:effectExtent l="19050" t="0" r="15875" b="762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C0173" w:rsidRDefault="007C0173" w:rsidP="00833DB3">
      <w:pPr>
        <w:pStyle w:val="a7"/>
        <w:shd w:val="clear" w:color="auto" w:fill="auto"/>
        <w:spacing w:before="0" w:after="0" w:line="240" w:lineRule="auto"/>
        <w:ind w:firstLine="0"/>
        <w:jc w:val="both"/>
        <w:rPr>
          <w:rFonts w:ascii="Times New Roman" w:hAnsi="Times New Roman" w:cs="Times New Roman"/>
          <w:sz w:val="24"/>
          <w:szCs w:val="24"/>
          <w:lang w:val="ru-RU"/>
        </w:rPr>
      </w:pPr>
    </w:p>
    <w:p w:rsidR="007C0173" w:rsidRDefault="007C0173" w:rsidP="007C0173">
      <w:pPr>
        <w:ind w:firstLine="708"/>
        <w:jc w:val="center"/>
        <w:rPr>
          <w:rFonts w:ascii="Times New Roman" w:hAnsi="Times New Roman" w:cs="Times New Roman"/>
          <w:b/>
          <w:sz w:val="20"/>
          <w:szCs w:val="20"/>
        </w:rPr>
      </w:pPr>
      <w:r>
        <w:rPr>
          <w:rFonts w:ascii="Times New Roman" w:hAnsi="Times New Roman" w:cs="Times New Roman"/>
          <w:b/>
          <w:sz w:val="20"/>
          <w:szCs w:val="20"/>
        </w:rPr>
        <w:t>Малюнок 16</w:t>
      </w:r>
      <w:r w:rsidR="00A043B3">
        <w:rPr>
          <w:rFonts w:ascii="Times New Roman" w:hAnsi="Times New Roman" w:cs="Times New Roman"/>
          <w:b/>
          <w:sz w:val="20"/>
          <w:szCs w:val="20"/>
        </w:rPr>
        <w:t>.</w:t>
      </w:r>
      <w:r>
        <w:rPr>
          <w:rFonts w:ascii="Times New Roman" w:hAnsi="Times New Roman" w:cs="Times New Roman"/>
          <w:b/>
          <w:sz w:val="20"/>
          <w:szCs w:val="20"/>
        </w:rPr>
        <w:t xml:space="preserve"> Обсяг промислової продукції</w:t>
      </w:r>
    </w:p>
    <w:p w:rsidR="0026266B" w:rsidRDefault="0026266B" w:rsidP="00833DB3">
      <w:pPr>
        <w:pStyle w:val="a7"/>
        <w:shd w:val="clear" w:color="auto" w:fill="auto"/>
        <w:spacing w:before="0" w:after="0" w:line="240" w:lineRule="auto"/>
        <w:ind w:firstLine="0"/>
        <w:jc w:val="both"/>
        <w:rPr>
          <w:rFonts w:ascii="Times New Roman" w:hAnsi="Times New Roman" w:cs="Times New Roman"/>
          <w:sz w:val="24"/>
          <w:szCs w:val="24"/>
          <w:lang w:val="ru-RU"/>
        </w:rPr>
      </w:pPr>
    </w:p>
    <w:p w:rsidR="0026266B" w:rsidRPr="0026266B" w:rsidRDefault="0026266B" w:rsidP="001456CE">
      <w:pPr>
        <w:spacing w:after="0"/>
        <w:ind w:firstLine="567"/>
        <w:jc w:val="both"/>
        <w:rPr>
          <w:rFonts w:ascii="Times New Roman" w:eastAsia="Calibri" w:hAnsi="Times New Roman" w:cs="Times New Roman"/>
          <w:bCs/>
          <w:sz w:val="24"/>
          <w:szCs w:val="24"/>
        </w:rPr>
      </w:pPr>
      <w:r w:rsidRPr="0026266B">
        <w:rPr>
          <w:rFonts w:ascii="Times New Roman" w:eastAsia="Calibri" w:hAnsi="Times New Roman" w:cs="Times New Roman"/>
          <w:bCs/>
          <w:sz w:val="24"/>
          <w:szCs w:val="24"/>
        </w:rPr>
        <w:t>Основу економіки міста Костянтинівки складають підприємства металургійного виробництва, машинобудування, виробництва неметалевої мінеральної продукції та харчової промисловості.</w:t>
      </w:r>
    </w:p>
    <w:p w:rsidR="0026266B" w:rsidRPr="0026266B" w:rsidRDefault="0026266B" w:rsidP="001456CE">
      <w:pPr>
        <w:spacing w:after="0"/>
        <w:ind w:firstLine="567"/>
        <w:jc w:val="both"/>
        <w:rPr>
          <w:rFonts w:ascii="Times New Roman" w:eastAsia="Calibri" w:hAnsi="Times New Roman" w:cs="Times New Roman"/>
          <w:b/>
          <w:sz w:val="24"/>
          <w:szCs w:val="24"/>
        </w:rPr>
      </w:pPr>
      <w:r w:rsidRPr="0026266B">
        <w:rPr>
          <w:rFonts w:ascii="Times New Roman" w:eastAsia="Calibri" w:hAnsi="Times New Roman" w:cs="Times New Roman"/>
          <w:b/>
          <w:sz w:val="24"/>
          <w:szCs w:val="24"/>
        </w:rPr>
        <w:t>Металургійне виробництво та виробництво готових металевих виробів</w:t>
      </w:r>
    </w:p>
    <w:p w:rsidR="0026266B" w:rsidRPr="0026266B" w:rsidRDefault="0026266B" w:rsidP="001456CE">
      <w:pPr>
        <w:spacing w:after="0"/>
        <w:ind w:firstLine="567"/>
        <w:jc w:val="both"/>
        <w:rPr>
          <w:rFonts w:ascii="Times New Roman" w:eastAsia="Calibri" w:hAnsi="Times New Roman" w:cs="Times New Roman"/>
          <w:sz w:val="24"/>
          <w:szCs w:val="24"/>
        </w:rPr>
      </w:pPr>
      <w:r w:rsidRPr="0026266B">
        <w:rPr>
          <w:rFonts w:ascii="Times New Roman" w:eastAsia="Calibri" w:hAnsi="Times New Roman" w:cs="Times New Roman"/>
          <w:sz w:val="24"/>
          <w:szCs w:val="24"/>
        </w:rPr>
        <w:t xml:space="preserve">Дану галузь промисловості представляють підприємства ТОВ «Мегатекс», </w:t>
      </w:r>
      <w:r w:rsidR="001456CE">
        <w:rPr>
          <w:rFonts w:ascii="Times New Roman" w:hAnsi="Times New Roman" w:cs="Times New Roman"/>
          <w:sz w:val="24"/>
          <w:szCs w:val="24"/>
        </w:rPr>
        <w:t xml:space="preserve">                          </w:t>
      </w:r>
      <w:r w:rsidRPr="0026266B">
        <w:rPr>
          <w:rFonts w:ascii="Times New Roman" w:eastAsia="Calibri" w:hAnsi="Times New Roman" w:cs="Times New Roman"/>
          <w:sz w:val="24"/>
          <w:szCs w:val="24"/>
        </w:rPr>
        <w:t xml:space="preserve">ТОВ «Спеціалізоване підприємство «Свинець» та </w:t>
      </w:r>
      <w:proofErr w:type="spellStart"/>
      <w:r w:rsidRPr="0026266B">
        <w:rPr>
          <w:rFonts w:ascii="Times New Roman" w:eastAsia="Calibri" w:hAnsi="Times New Roman" w:cs="Times New Roman"/>
          <w:sz w:val="24"/>
          <w:szCs w:val="24"/>
        </w:rPr>
        <w:t>ПрАТ</w:t>
      </w:r>
      <w:proofErr w:type="spellEnd"/>
      <w:r w:rsidRPr="0026266B">
        <w:rPr>
          <w:rFonts w:ascii="Times New Roman" w:eastAsia="Calibri" w:hAnsi="Times New Roman" w:cs="Times New Roman"/>
          <w:sz w:val="24"/>
          <w:szCs w:val="24"/>
        </w:rPr>
        <w:t xml:space="preserve"> «Цинк».</w:t>
      </w:r>
    </w:p>
    <w:p w:rsidR="0026266B" w:rsidRPr="0026266B" w:rsidRDefault="0026266B" w:rsidP="001456CE">
      <w:pPr>
        <w:spacing w:after="0"/>
        <w:ind w:firstLine="708"/>
        <w:jc w:val="both"/>
        <w:rPr>
          <w:rFonts w:ascii="Times New Roman" w:eastAsia="Calibri" w:hAnsi="Times New Roman" w:cs="Times New Roman"/>
          <w:sz w:val="24"/>
          <w:szCs w:val="24"/>
        </w:rPr>
      </w:pPr>
      <w:r w:rsidRPr="001456CE">
        <w:rPr>
          <w:rFonts w:ascii="Times New Roman" w:eastAsia="Calibri" w:hAnsi="Times New Roman" w:cs="Times New Roman"/>
          <w:b/>
          <w:sz w:val="24"/>
          <w:szCs w:val="24"/>
          <w:u w:val="single"/>
        </w:rPr>
        <w:t>ТОВ «Мегатекс»</w:t>
      </w:r>
      <w:r w:rsidRPr="0026266B">
        <w:rPr>
          <w:rFonts w:ascii="Times New Roman" w:eastAsia="Calibri" w:hAnsi="Times New Roman" w:cs="Times New Roman"/>
          <w:sz w:val="24"/>
          <w:szCs w:val="24"/>
        </w:rPr>
        <w:t xml:space="preserve"> єдине в Україні підприємство з комплексної безвідходної переробки брухту акумуляторних батарей що містить свинець.</w:t>
      </w:r>
    </w:p>
    <w:p w:rsidR="0026266B" w:rsidRPr="0026266B" w:rsidRDefault="0026266B" w:rsidP="001456CE">
      <w:pPr>
        <w:pStyle w:val="26"/>
        <w:spacing w:after="0" w:line="240" w:lineRule="auto"/>
        <w:ind w:left="0" w:firstLine="425"/>
        <w:jc w:val="both"/>
        <w:rPr>
          <w:lang w:val="uk-UA"/>
        </w:rPr>
      </w:pPr>
      <w:r w:rsidRPr="0026266B">
        <w:rPr>
          <w:lang w:val="uk-UA"/>
        </w:rPr>
        <w:t xml:space="preserve">В 2020 році на підприємстві вироблено 485,4 тис. акумуляторних батарей. </w:t>
      </w:r>
    </w:p>
    <w:p w:rsidR="0026266B" w:rsidRPr="0026266B" w:rsidRDefault="0026266B" w:rsidP="001456CE">
      <w:pPr>
        <w:pStyle w:val="26"/>
        <w:spacing w:after="0" w:line="240" w:lineRule="auto"/>
        <w:ind w:left="0" w:firstLine="425"/>
        <w:jc w:val="both"/>
        <w:rPr>
          <w:lang w:val="uk-UA"/>
        </w:rPr>
      </w:pPr>
      <w:r w:rsidRPr="001456CE">
        <w:rPr>
          <w:b/>
          <w:u w:val="single"/>
          <w:lang w:val="uk-UA"/>
        </w:rPr>
        <w:t>ТОВ «СП «Свинець»</w:t>
      </w:r>
      <w:r w:rsidRPr="0026266B">
        <w:rPr>
          <w:lang w:val="uk-UA"/>
        </w:rPr>
        <w:t xml:space="preserve"> виробляє свинець. У 2020 році вироблено даної продукції                13,3 тис. тонн, що на 0,5 % менше ніж у 2019 році. </w:t>
      </w:r>
    </w:p>
    <w:p w:rsidR="0026266B" w:rsidRPr="0026266B" w:rsidRDefault="0026266B" w:rsidP="001456CE">
      <w:pPr>
        <w:pStyle w:val="26"/>
        <w:spacing w:after="0" w:line="240" w:lineRule="auto"/>
        <w:ind w:left="0" w:firstLine="425"/>
        <w:jc w:val="both"/>
        <w:rPr>
          <w:lang w:val="uk-UA"/>
        </w:rPr>
      </w:pPr>
      <w:r w:rsidRPr="001456CE">
        <w:rPr>
          <w:b/>
          <w:lang w:val="uk-UA"/>
        </w:rPr>
        <w:t xml:space="preserve">Підприємство </w:t>
      </w:r>
      <w:proofErr w:type="spellStart"/>
      <w:r w:rsidRPr="001456CE">
        <w:rPr>
          <w:b/>
          <w:u w:val="single"/>
          <w:lang w:val="uk-UA"/>
        </w:rPr>
        <w:t>ПрАТ</w:t>
      </w:r>
      <w:proofErr w:type="spellEnd"/>
      <w:r w:rsidRPr="001456CE">
        <w:rPr>
          <w:b/>
          <w:u w:val="single"/>
          <w:lang w:val="uk-UA"/>
        </w:rPr>
        <w:t xml:space="preserve"> «Цинк»</w:t>
      </w:r>
      <w:r w:rsidRPr="0026266B">
        <w:rPr>
          <w:lang w:val="uk-UA"/>
        </w:rPr>
        <w:t xml:space="preserve"> </w:t>
      </w:r>
      <w:r w:rsidR="001456CE" w:rsidRPr="0026266B">
        <w:rPr>
          <w:lang w:val="uk-UA"/>
        </w:rPr>
        <w:t xml:space="preserve">виробляє </w:t>
      </w:r>
      <w:r w:rsidR="001456CE">
        <w:rPr>
          <w:lang w:val="uk-UA"/>
        </w:rPr>
        <w:t>цинковий купорос.</w:t>
      </w:r>
      <w:r w:rsidRPr="0026266B">
        <w:rPr>
          <w:lang w:val="uk-UA"/>
        </w:rPr>
        <w:t xml:space="preserve"> </w:t>
      </w:r>
      <w:r w:rsidR="001456CE" w:rsidRPr="0026266B">
        <w:rPr>
          <w:lang w:val="uk-UA"/>
        </w:rPr>
        <w:t xml:space="preserve">У 2020 році вироблено даної продукції </w:t>
      </w:r>
      <w:r w:rsidRPr="0026266B">
        <w:rPr>
          <w:lang w:val="uk-UA"/>
        </w:rPr>
        <w:t>1050,0 тонн.</w:t>
      </w:r>
    </w:p>
    <w:p w:rsidR="0026266B" w:rsidRPr="0026266B" w:rsidRDefault="0026266B" w:rsidP="001456CE">
      <w:pPr>
        <w:pStyle w:val="26"/>
        <w:spacing w:after="0" w:line="240" w:lineRule="auto"/>
        <w:ind w:left="0" w:firstLine="425"/>
        <w:jc w:val="both"/>
        <w:rPr>
          <w:lang w:val="uk-UA"/>
        </w:rPr>
      </w:pPr>
      <w:r w:rsidRPr="0026266B">
        <w:rPr>
          <w:lang w:val="uk-UA"/>
        </w:rPr>
        <w:lastRenderedPageBreak/>
        <w:t>Продукція на ТОВ СП «Свинець» та ТОВ «Мегатекс» сертифікована відповідно до міжнародних стандартів ISO.</w:t>
      </w:r>
    </w:p>
    <w:p w:rsidR="0026266B" w:rsidRPr="0026266B" w:rsidRDefault="0026266B" w:rsidP="001456CE">
      <w:pPr>
        <w:pStyle w:val="26"/>
        <w:tabs>
          <w:tab w:val="left" w:pos="2127"/>
        </w:tabs>
        <w:spacing w:after="0" w:line="240" w:lineRule="auto"/>
        <w:ind w:left="0" w:firstLine="1276"/>
        <w:jc w:val="both"/>
        <w:rPr>
          <w:b/>
          <w:lang w:val="uk-UA"/>
        </w:rPr>
      </w:pPr>
      <w:r w:rsidRPr="0026266B">
        <w:rPr>
          <w:b/>
          <w:lang w:val="uk-UA"/>
        </w:rPr>
        <w:t>Машинобудування, ремонт та монтаж машин та устаткувань</w:t>
      </w:r>
    </w:p>
    <w:p w:rsidR="0026266B" w:rsidRPr="0026266B" w:rsidRDefault="0026266B" w:rsidP="001456CE">
      <w:pPr>
        <w:pStyle w:val="24"/>
        <w:spacing w:after="0" w:line="240" w:lineRule="auto"/>
        <w:ind w:firstLine="567"/>
        <w:jc w:val="both"/>
        <w:rPr>
          <w:lang w:val="uk-UA"/>
        </w:rPr>
      </w:pPr>
      <w:r w:rsidRPr="0026266B">
        <w:rPr>
          <w:lang w:val="uk-UA"/>
        </w:rPr>
        <w:t xml:space="preserve">В 2020 році </w:t>
      </w:r>
      <w:r w:rsidRPr="001456CE">
        <w:rPr>
          <w:b/>
          <w:u w:val="single"/>
          <w:lang w:val="uk-UA"/>
        </w:rPr>
        <w:t>ТОВ «Костянтинівський завод металургійного обладнання»</w:t>
      </w:r>
      <w:r w:rsidRPr="0026266B">
        <w:rPr>
          <w:lang w:val="uk-UA"/>
        </w:rPr>
        <w:t xml:space="preserve"> виробив катодів мідних в обсязі 9,4 тис. тонн</w:t>
      </w:r>
      <w:r w:rsidR="001456CE">
        <w:rPr>
          <w:lang w:val="uk-UA"/>
        </w:rPr>
        <w:t>.</w:t>
      </w:r>
      <w:r w:rsidRPr="0026266B">
        <w:rPr>
          <w:lang w:val="uk-UA"/>
        </w:rPr>
        <w:t xml:space="preserve"> (</w:t>
      </w:r>
    </w:p>
    <w:p w:rsidR="0026266B" w:rsidRPr="0026266B" w:rsidRDefault="0026266B" w:rsidP="001456CE">
      <w:pPr>
        <w:spacing w:after="0"/>
        <w:ind w:firstLine="567"/>
        <w:jc w:val="both"/>
        <w:rPr>
          <w:rFonts w:ascii="Times New Roman" w:eastAsia="Calibri" w:hAnsi="Times New Roman" w:cs="Times New Roman"/>
          <w:sz w:val="24"/>
          <w:szCs w:val="24"/>
        </w:rPr>
      </w:pPr>
      <w:r w:rsidRPr="001456CE">
        <w:rPr>
          <w:rFonts w:ascii="Times New Roman" w:eastAsia="Calibri" w:hAnsi="Times New Roman" w:cs="Times New Roman"/>
          <w:b/>
          <w:sz w:val="24"/>
          <w:szCs w:val="24"/>
          <w:u w:val="single"/>
        </w:rPr>
        <w:t>Костянтинівське державне науково-виробниче підприємство «Кварсит</w:t>
      </w:r>
      <w:r w:rsidRPr="001456CE">
        <w:rPr>
          <w:rFonts w:ascii="Times New Roman" w:eastAsia="Calibri" w:hAnsi="Times New Roman" w:cs="Times New Roman"/>
          <w:b/>
          <w:sz w:val="24"/>
          <w:szCs w:val="24"/>
        </w:rPr>
        <w:t>»</w:t>
      </w:r>
      <w:r w:rsidRPr="0026266B">
        <w:rPr>
          <w:rFonts w:ascii="Times New Roman" w:eastAsia="Calibri" w:hAnsi="Times New Roman" w:cs="Times New Roman"/>
          <w:sz w:val="24"/>
          <w:szCs w:val="24"/>
        </w:rPr>
        <w:t xml:space="preserve"> планує реалізувати у наступному році продукцію, вироблену в минулих роках на суму 5,0 млн. грн. На даний момент підприємство знаходиться у скрутному фінансовому стані, має заборгованість із заробітної плати і по платежах до бюджету.</w:t>
      </w:r>
    </w:p>
    <w:p w:rsidR="0026266B" w:rsidRPr="0026266B" w:rsidRDefault="0026266B" w:rsidP="001456CE">
      <w:pPr>
        <w:spacing w:after="0"/>
        <w:ind w:firstLine="567"/>
        <w:jc w:val="both"/>
        <w:rPr>
          <w:rFonts w:ascii="Times New Roman" w:eastAsia="Calibri" w:hAnsi="Times New Roman" w:cs="Times New Roman"/>
          <w:sz w:val="24"/>
          <w:szCs w:val="24"/>
        </w:rPr>
      </w:pPr>
      <w:r w:rsidRPr="0026266B">
        <w:rPr>
          <w:rFonts w:ascii="Times New Roman" w:eastAsia="Calibri" w:hAnsi="Times New Roman" w:cs="Times New Roman"/>
          <w:sz w:val="24"/>
          <w:szCs w:val="24"/>
        </w:rPr>
        <w:t>Продукція на підприємствах ТОВ «Костянтинівський завод металургійного обладнання» і КДНВП «Кварсит» сертифікована відповідно до міжнародних стандартів ISO.</w:t>
      </w:r>
    </w:p>
    <w:p w:rsidR="0026266B" w:rsidRPr="0026266B" w:rsidRDefault="0026266B" w:rsidP="001456CE">
      <w:pPr>
        <w:spacing w:after="0"/>
        <w:ind w:firstLine="567"/>
        <w:jc w:val="center"/>
        <w:rPr>
          <w:rFonts w:ascii="Times New Roman" w:eastAsia="Calibri" w:hAnsi="Times New Roman" w:cs="Times New Roman"/>
          <w:b/>
          <w:sz w:val="24"/>
          <w:szCs w:val="24"/>
        </w:rPr>
      </w:pPr>
      <w:r w:rsidRPr="0026266B">
        <w:rPr>
          <w:rFonts w:ascii="Times New Roman" w:eastAsia="Calibri" w:hAnsi="Times New Roman" w:cs="Times New Roman"/>
          <w:b/>
          <w:sz w:val="24"/>
          <w:szCs w:val="24"/>
        </w:rPr>
        <w:t>Виробництво іншої неметалевої мінеральної продукції</w:t>
      </w:r>
    </w:p>
    <w:p w:rsidR="0026266B" w:rsidRPr="001456CE" w:rsidRDefault="0026266B" w:rsidP="001456CE">
      <w:pPr>
        <w:spacing w:after="0"/>
        <w:ind w:firstLine="567"/>
        <w:jc w:val="both"/>
        <w:rPr>
          <w:rFonts w:ascii="Times New Roman" w:eastAsia="Calibri" w:hAnsi="Times New Roman" w:cs="Times New Roman"/>
          <w:b/>
          <w:sz w:val="24"/>
          <w:szCs w:val="24"/>
        </w:rPr>
      </w:pPr>
      <w:r w:rsidRPr="0026266B">
        <w:rPr>
          <w:rFonts w:ascii="Times New Roman" w:eastAsia="Calibri" w:hAnsi="Times New Roman" w:cs="Times New Roman"/>
          <w:sz w:val="24"/>
          <w:szCs w:val="24"/>
        </w:rPr>
        <w:t xml:space="preserve">Дану галузь промисловості представляють підприємства: </w:t>
      </w:r>
      <w:r w:rsidR="001456CE">
        <w:rPr>
          <w:rFonts w:ascii="Times New Roman" w:hAnsi="Times New Roman" w:cs="Times New Roman"/>
          <w:b/>
          <w:sz w:val="24"/>
          <w:szCs w:val="24"/>
        </w:rPr>
        <w:t xml:space="preserve">ТОВ «Гласкомерц»,                   </w:t>
      </w:r>
      <w:r w:rsidRPr="001456CE">
        <w:rPr>
          <w:rFonts w:ascii="Times New Roman" w:eastAsia="Calibri" w:hAnsi="Times New Roman" w:cs="Times New Roman"/>
          <w:b/>
          <w:sz w:val="24"/>
          <w:szCs w:val="24"/>
        </w:rPr>
        <w:t xml:space="preserve"> ПАТ «Завод обважнювачів», ПАТ «Спецтехскло А».</w:t>
      </w:r>
    </w:p>
    <w:p w:rsidR="0026266B" w:rsidRPr="0026266B" w:rsidRDefault="0026266B" w:rsidP="001456CE">
      <w:pPr>
        <w:spacing w:after="0"/>
        <w:ind w:firstLine="567"/>
        <w:jc w:val="both"/>
        <w:rPr>
          <w:rFonts w:ascii="Times New Roman" w:eastAsia="Calibri" w:hAnsi="Times New Roman" w:cs="Times New Roman"/>
          <w:sz w:val="24"/>
          <w:szCs w:val="24"/>
        </w:rPr>
      </w:pPr>
      <w:r w:rsidRPr="0026266B">
        <w:rPr>
          <w:rFonts w:ascii="Times New Roman" w:eastAsia="Calibri" w:hAnsi="Times New Roman" w:cs="Times New Roman"/>
          <w:sz w:val="24"/>
          <w:szCs w:val="24"/>
        </w:rPr>
        <w:t xml:space="preserve">В 2020 році підприємство </w:t>
      </w:r>
      <w:r w:rsidRPr="001456CE">
        <w:rPr>
          <w:rFonts w:ascii="Times New Roman" w:eastAsia="Calibri" w:hAnsi="Times New Roman" w:cs="Times New Roman"/>
          <w:b/>
          <w:sz w:val="24"/>
          <w:szCs w:val="24"/>
          <w:u w:val="single"/>
        </w:rPr>
        <w:t>ТОВ «Гласкомерц»</w:t>
      </w:r>
      <w:r w:rsidRPr="0026266B">
        <w:rPr>
          <w:rFonts w:ascii="Times New Roman" w:eastAsia="Calibri" w:hAnsi="Times New Roman" w:cs="Times New Roman"/>
          <w:sz w:val="24"/>
          <w:szCs w:val="24"/>
        </w:rPr>
        <w:t xml:space="preserve"> В 2020 році виробили листового скла 3113,8 тис. </w:t>
      </w:r>
      <w:r w:rsidR="001456CE">
        <w:rPr>
          <w:rFonts w:ascii="Times New Roman" w:hAnsi="Times New Roman" w:cs="Times New Roman"/>
          <w:sz w:val="24"/>
          <w:szCs w:val="24"/>
        </w:rPr>
        <w:t>кв. м..</w:t>
      </w:r>
      <w:r w:rsidRPr="0026266B">
        <w:rPr>
          <w:rFonts w:ascii="Times New Roman" w:eastAsia="Calibri" w:hAnsi="Times New Roman" w:cs="Times New Roman"/>
          <w:sz w:val="24"/>
          <w:szCs w:val="24"/>
        </w:rPr>
        <w:t xml:space="preserve"> </w:t>
      </w:r>
    </w:p>
    <w:p w:rsidR="0026266B" w:rsidRPr="0026266B" w:rsidRDefault="001456CE" w:rsidP="001456CE">
      <w:pPr>
        <w:tabs>
          <w:tab w:val="left" w:pos="567"/>
        </w:tabs>
        <w:spacing w:after="0"/>
        <w:jc w:val="both"/>
        <w:rPr>
          <w:rFonts w:ascii="Times New Roman" w:eastAsia="Calibri" w:hAnsi="Times New Roman" w:cs="Times New Roman"/>
          <w:sz w:val="24"/>
          <w:szCs w:val="24"/>
        </w:rPr>
      </w:pPr>
      <w:r>
        <w:rPr>
          <w:rFonts w:ascii="Times New Roman" w:hAnsi="Times New Roman" w:cs="Times New Roman"/>
          <w:sz w:val="24"/>
          <w:szCs w:val="24"/>
        </w:rPr>
        <w:tab/>
      </w:r>
      <w:proofErr w:type="spellStart"/>
      <w:r w:rsidR="0026266B" w:rsidRPr="001456CE">
        <w:rPr>
          <w:rFonts w:ascii="Times New Roman" w:eastAsia="Calibri" w:hAnsi="Times New Roman" w:cs="Times New Roman"/>
          <w:b/>
          <w:sz w:val="24"/>
          <w:szCs w:val="24"/>
          <w:u w:val="single"/>
        </w:rPr>
        <w:t>ПрАТ</w:t>
      </w:r>
      <w:proofErr w:type="spellEnd"/>
      <w:r w:rsidR="0026266B" w:rsidRPr="001456CE">
        <w:rPr>
          <w:rFonts w:ascii="Times New Roman" w:eastAsia="Calibri" w:hAnsi="Times New Roman" w:cs="Times New Roman"/>
          <w:b/>
          <w:sz w:val="24"/>
          <w:szCs w:val="24"/>
          <w:u w:val="single"/>
        </w:rPr>
        <w:t xml:space="preserve"> «Завод обважнювачів»</w:t>
      </w:r>
      <w:r w:rsidR="0026266B" w:rsidRPr="0026266B">
        <w:rPr>
          <w:rFonts w:ascii="Times New Roman" w:eastAsia="Calibri" w:hAnsi="Times New Roman" w:cs="Times New Roman"/>
          <w:sz w:val="24"/>
          <w:szCs w:val="24"/>
        </w:rPr>
        <w:t xml:space="preserve"> у 2020 році вироблено 57,2 тис. тонн глинопорошків і 6,3 тис. тонн спеццементів</w:t>
      </w:r>
      <w:r>
        <w:rPr>
          <w:rFonts w:ascii="Times New Roman" w:hAnsi="Times New Roman" w:cs="Times New Roman"/>
          <w:sz w:val="24"/>
          <w:szCs w:val="24"/>
        </w:rPr>
        <w:t>.</w:t>
      </w:r>
      <w:r w:rsidR="0026266B" w:rsidRPr="0026266B">
        <w:rPr>
          <w:rFonts w:ascii="Times New Roman" w:eastAsia="Calibri" w:hAnsi="Times New Roman" w:cs="Times New Roman"/>
          <w:sz w:val="24"/>
          <w:szCs w:val="24"/>
        </w:rPr>
        <w:t xml:space="preserve"> </w:t>
      </w:r>
    </w:p>
    <w:p w:rsidR="0026266B" w:rsidRPr="001456CE" w:rsidRDefault="0026266B" w:rsidP="001456CE">
      <w:pPr>
        <w:spacing w:after="0"/>
        <w:ind w:firstLine="567"/>
        <w:jc w:val="both"/>
        <w:rPr>
          <w:rFonts w:ascii="Times New Roman" w:eastAsia="Calibri" w:hAnsi="Times New Roman" w:cs="Times New Roman"/>
          <w:sz w:val="24"/>
          <w:szCs w:val="24"/>
        </w:rPr>
      </w:pPr>
      <w:r w:rsidRPr="001456CE">
        <w:rPr>
          <w:rFonts w:ascii="Times New Roman" w:eastAsia="Calibri" w:hAnsi="Times New Roman" w:cs="Times New Roman"/>
          <w:sz w:val="24"/>
          <w:szCs w:val="24"/>
        </w:rPr>
        <w:t xml:space="preserve">На підприємстві впроваджена система управління якістю продукції відповідно до вимог міжнародного стандарту ISO 9001-2008. </w:t>
      </w:r>
    </w:p>
    <w:p w:rsidR="0026266B" w:rsidRPr="0026266B" w:rsidRDefault="0026266B" w:rsidP="001456CE">
      <w:pPr>
        <w:tabs>
          <w:tab w:val="left" w:pos="567"/>
        </w:tabs>
        <w:spacing w:after="0"/>
        <w:jc w:val="both"/>
        <w:rPr>
          <w:rFonts w:ascii="Times New Roman" w:eastAsia="Calibri" w:hAnsi="Times New Roman" w:cs="Times New Roman"/>
          <w:sz w:val="24"/>
          <w:szCs w:val="24"/>
        </w:rPr>
      </w:pPr>
      <w:r w:rsidRPr="0026266B">
        <w:rPr>
          <w:rFonts w:ascii="Times New Roman" w:eastAsia="Calibri" w:hAnsi="Times New Roman" w:cs="Times New Roman"/>
          <w:sz w:val="24"/>
          <w:szCs w:val="24"/>
        </w:rPr>
        <w:tab/>
      </w:r>
      <w:r w:rsidRPr="001456CE">
        <w:rPr>
          <w:rFonts w:ascii="Times New Roman" w:eastAsia="Calibri" w:hAnsi="Times New Roman" w:cs="Times New Roman"/>
          <w:b/>
          <w:sz w:val="24"/>
          <w:szCs w:val="24"/>
          <w:u w:val="single"/>
        </w:rPr>
        <w:t>ТОВ «Спецтехскло А»</w:t>
      </w:r>
      <w:r w:rsidR="001456CE">
        <w:rPr>
          <w:rFonts w:ascii="Times New Roman" w:hAnsi="Times New Roman" w:cs="Times New Roman"/>
          <w:sz w:val="24"/>
          <w:szCs w:val="24"/>
        </w:rPr>
        <w:t xml:space="preserve"> </w:t>
      </w:r>
      <w:r w:rsidRPr="0026266B">
        <w:rPr>
          <w:rFonts w:ascii="Times New Roman" w:eastAsia="Calibri" w:hAnsi="Times New Roman" w:cs="Times New Roman"/>
          <w:sz w:val="24"/>
          <w:szCs w:val="24"/>
        </w:rPr>
        <w:t>На підприємстві впроваджена і функціонує система управління якістю продукції відповідно до вимог міжнародного стандарту ISO 9001-2008, а також авіаційним правилам АП-21 и АПУ-21.</w:t>
      </w:r>
    </w:p>
    <w:p w:rsidR="0026266B" w:rsidRPr="0026266B" w:rsidRDefault="0026266B" w:rsidP="001456CE">
      <w:pPr>
        <w:tabs>
          <w:tab w:val="left" w:pos="567"/>
        </w:tabs>
        <w:spacing w:after="0"/>
        <w:jc w:val="both"/>
        <w:rPr>
          <w:rFonts w:ascii="Times New Roman" w:eastAsia="Calibri" w:hAnsi="Times New Roman" w:cs="Times New Roman"/>
          <w:sz w:val="24"/>
          <w:szCs w:val="24"/>
        </w:rPr>
      </w:pPr>
      <w:r w:rsidRPr="0026266B">
        <w:rPr>
          <w:rFonts w:ascii="Times New Roman" w:eastAsia="Calibri" w:hAnsi="Times New Roman" w:cs="Times New Roman"/>
          <w:sz w:val="24"/>
          <w:szCs w:val="24"/>
        </w:rPr>
        <w:tab/>
        <w:t>У 202</w:t>
      </w:r>
      <w:r w:rsidR="001456CE">
        <w:rPr>
          <w:rFonts w:ascii="Times New Roman" w:hAnsi="Times New Roman" w:cs="Times New Roman"/>
          <w:sz w:val="24"/>
          <w:szCs w:val="24"/>
        </w:rPr>
        <w:t>0</w:t>
      </w:r>
      <w:r w:rsidRPr="0026266B">
        <w:rPr>
          <w:rFonts w:ascii="Times New Roman" w:eastAsia="Calibri" w:hAnsi="Times New Roman" w:cs="Times New Roman"/>
          <w:sz w:val="24"/>
          <w:szCs w:val="24"/>
        </w:rPr>
        <w:t xml:space="preserve"> році </w:t>
      </w:r>
      <w:r w:rsidR="001456CE" w:rsidRPr="0026266B">
        <w:rPr>
          <w:rFonts w:ascii="Times New Roman" w:eastAsia="Calibri" w:hAnsi="Times New Roman" w:cs="Times New Roman"/>
          <w:sz w:val="24"/>
          <w:szCs w:val="24"/>
        </w:rPr>
        <w:t xml:space="preserve">випуск і реалізація продукції </w:t>
      </w:r>
      <w:r w:rsidR="001456CE">
        <w:rPr>
          <w:rFonts w:ascii="Times New Roman" w:hAnsi="Times New Roman" w:cs="Times New Roman"/>
          <w:sz w:val="24"/>
          <w:szCs w:val="24"/>
        </w:rPr>
        <w:t>скала</w:t>
      </w:r>
      <w:r w:rsidRPr="0026266B">
        <w:rPr>
          <w:rFonts w:ascii="Times New Roman" w:eastAsia="Calibri" w:hAnsi="Times New Roman" w:cs="Times New Roman"/>
          <w:sz w:val="24"/>
          <w:szCs w:val="24"/>
        </w:rPr>
        <w:t>: склопакетів - 0,6 тис. кв. м, скла безпечного – 0,6 тис. кв. м, скла листового тягнутого – 0,04 тис. кв. м.</w:t>
      </w:r>
    </w:p>
    <w:p w:rsidR="0026266B" w:rsidRPr="0026266B" w:rsidRDefault="0026266B" w:rsidP="001456CE">
      <w:pPr>
        <w:spacing w:after="0"/>
        <w:jc w:val="center"/>
        <w:rPr>
          <w:rFonts w:ascii="Times New Roman" w:eastAsia="Calibri" w:hAnsi="Times New Roman" w:cs="Times New Roman"/>
          <w:b/>
          <w:bCs/>
          <w:sz w:val="24"/>
          <w:szCs w:val="24"/>
        </w:rPr>
      </w:pPr>
      <w:r w:rsidRPr="0026266B">
        <w:rPr>
          <w:rFonts w:ascii="Times New Roman" w:eastAsia="Calibri" w:hAnsi="Times New Roman" w:cs="Times New Roman"/>
          <w:b/>
          <w:bCs/>
          <w:sz w:val="24"/>
          <w:szCs w:val="24"/>
        </w:rPr>
        <w:t>Легка промисловість</w:t>
      </w:r>
    </w:p>
    <w:p w:rsidR="00084DE8" w:rsidRDefault="0026266B" w:rsidP="001456CE">
      <w:pPr>
        <w:spacing w:after="0"/>
        <w:jc w:val="both"/>
        <w:rPr>
          <w:rFonts w:ascii="Times New Roman" w:eastAsia="Calibri" w:hAnsi="Times New Roman" w:cs="Times New Roman"/>
          <w:bCs/>
          <w:sz w:val="24"/>
          <w:szCs w:val="24"/>
        </w:rPr>
      </w:pPr>
      <w:r w:rsidRPr="0026266B">
        <w:rPr>
          <w:rFonts w:ascii="Times New Roman" w:eastAsia="Calibri" w:hAnsi="Times New Roman" w:cs="Times New Roman"/>
          <w:b/>
          <w:bCs/>
          <w:sz w:val="24"/>
          <w:szCs w:val="24"/>
        </w:rPr>
        <w:tab/>
      </w:r>
      <w:r w:rsidRPr="0026266B">
        <w:rPr>
          <w:rFonts w:ascii="Times New Roman" w:eastAsia="Calibri" w:hAnsi="Times New Roman" w:cs="Times New Roman"/>
          <w:bCs/>
          <w:sz w:val="24"/>
          <w:szCs w:val="24"/>
        </w:rPr>
        <w:t xml:space="preserve">Підприємство легкої промисловості </w:t>
      </w:r>
      <w:r w:rsidRPr="00134F22">
        <w:rPr>
          <w:rFonts w:ascii="Times New Roman" w:eastAsia="Calibri" w:hAnsi="Times New Roman" w:cs="Times New Roman"/>
          <w:b/>
          <w:bCs/>
          <w:sz w:val="24"/>
          <w:szCs w:val="24"/>
          <w:u w:val="single"/>
        </w:rPr>
        <w:t>ТОВ «Шкіркон»</w:t>
      </w:r>
      <w:r w:rsidRPr="0026266B">
        <w:rPr>
          <w:rFonts w:ascii="Times New Roman" w:eastAsia="Calibri" w:hAnsi="Times New Roman" w:cs="Times New Roman"/>
          <w:bCs/>
          <w:sz w:val="24"/>
          <w:szCs w:val="24"/>
        </w:rPr>
        <w:t xml:space="preserve"> виробляє продукцію зі шкіри. У 2021 році ТОВ «Шкіркон» планує призупинити фінансово-господарську діяльність на невизначений строк у зв’язку зі зменшенням ринків збуту.</w:t>
      </w:r>
    </w:p>
    <w:p w:rsidR="00963600" w:rsidRPr="00963600" w:rsidRDefault="00963600" w:rsidP="001456CE">
      <w:pPr>
        <w:spacing w:after="0"/>
        <w:jc w:val="both"/>
        <w:rPr>
          <w:rFonts w:ascii="Times New Roman" w:eastAsia="Calibri" w:hAnsi="Times New Roman" w:cs="Times New Roman"/>
          <w:bCs/>
          <w:sz w:val="6"/>
          <w:szCs w:val="6"/>
        </w:rPr>
      </w:pPr>
    </w:p>
    <w:p w:rsidR="00084DE8" w:rsidRPr="0026266B" w:rsidRDefault="0026266B" w:rsidP="00134F22">
      <w:pPr>
        <w:spacing w:after="0"/>
        <w:jc w:val="center"/>
        <w:rPr>
          <w:rFonts w:ascii="Times New Roman" w:eastAsia="Calibri" w:hAnsi="Times New Roman" w:cs="Times New Roman"/>
          <w:b/>
          <w:sz w:val="24"/>
          <w:szCs w:val="24"/>
        </w:rPr>
      </w:pPr>
      <w:r w:rsidRPr="0026266B">
        <w:rPr>
          <w:rFonts w:ascii="Times New Roman" w:eastAsia="Calibri" w:hAnsi="Times New Roman" w:cs="Times New Roman"/>
          <w:b/>
          <w:sz w:val="24"/>
          <w:szCs w:val="24"/>
        </w:rPr>
        <w:t>Виробництво харчових продуктів, напоїв та тютюнових виробів</w:t>
      </w:r>
    </w:p>
    <w:p w:rsidR="0026266B" w:rsidRPr="00134F22" w:rsidRDefault="0026266B" w:rsidP="00134F22">
      <w:pPr>
        <w:pStyle w:val="a9"/>
        <w:spacing w:after="0"/>
        <w:ind w:left="0" w:firstLine="708"/>
        <w:jc w:val="both"/>
        <w:rPr>
          <w:rFonts w:ascii="Times New Roman" w:eastAsia="Calibri" w:hAnsi="Times New Roman" w:cs="Times New Roman"/>
          <w:b/>
          <w:sz w:val="24"/>
          <w:szCs w:val="24"/>
        </w:rPr>
      </w:pPr>
      <w:r w:rsidRPr="0026266B">
        <w:rPr>
          <w:rFonts w:ascii="Times New Roman" w:eastAsia="Calibri" w:hAnsi="Times New Roman" w:cs="Times New Roman"/>
          <w:sz w:val="24"/>
          <w:szCs w:val="24"/>
        </w:rPr>
        <w:t xml:space="preserve">У місті Костянтинівка продовольчі товари виробляють: </w:t>
      </w:r>
      <w:r w:rsidRPr="00134F22">
        <w:rPr>
          <w:rFonts w:ascii="Times New Roman" w:eastAsia="Calibri" w:hAnsi="Times New Roman" w:cs="Times New Roman"/>
          <w:b/>
          <w:sz w:val="24"/>
          <w:szCs w:val="24"/>
        </w:rPr>
        <w:t>ТОВ «НАК», ТОВ «Еталон-Плюс» і Костянтинівська кондитерська фабрика АТ ВО «КОНТІ».</w:t>
      </w:r>
    </w:p>
    <w:p w:rsidR="004F51C1" w:rsidRPr="0026266B" w:rsidRDefault="0026266B" w:rsidP="00134F22">
      <w:pPr>
        <w:pStyle w:val="a9"/>
        <w:spacing w:after="0"/>
        <w:ind w:left="0" w:firstLine="708"/>
        <w:jc w:val="both"/>
        <w:rPr>
          <w:rFonts w:ascii="Times New Roman" w:eastAsia="Calibri" w:hAnsi="Times New Roman" w:cs="Times New Roman"/>
          <w:sz w:val="24"/>
          <w:szCs w:val="24"/>
        </w:rPr>
      </w:pPr>
      <w:r w:rsidRPr="0026266B">
        <w:rPr>
          <w:rFonts w:ascii="Times New Roman" w:eastAsia="Calibri" w:hAnsi="Times New Roman" w:cs="Times New Roman"/>
          <w:sz w:val="24"/>
          <w:szCs w:val="24"/>
        </w:rPr>
        <w:t xml:space="preserve">У 2020 році харчовими промисловими підприємствами міста  </w:t>
      </w:r>
      <w:proofErr w:type="spellStart"/>
      <w:r w:rsidRPr="0026266B">
        <w:rPr>
          <w:rFonts w:ascii="Times New Roman" w:eastAsia="Calibri" w:hAnsi="Times New Roman" w:cs="Times New Roman"/>
          <w:sz w:val="24"/>
          <w:szCs w:val="24"/>
        </w:rPr>
        <w:t>реаліз</w:t>
      </w:r>
      <w:r w:rsidRPr="0026266B">
        <w:rPr>
          <w:rFonts w:ascii="Times New Roman" w:eastAsia="Calibri" w:hAnsi="Times New Roman" w:cs="Times New Roman"/>
          <w:sz w:val="24"/>
          <w:szCs w:val="24"/>
          <w:lang w:val="ru-RU"/>
        </w:rPr>
        <w:t>овано</w:t>
      </w:r>
      <w:proofErr w:type="spellEnd"/>
      <w:r w:rsidRPr="0026266B">
        <w:rPr>
          <w:rFonts w:ascii="Times New Roman" w:eastAsia="Calibri" w:hAnsi="Times New Roman" w:cs="Times New Roman"/>
          <w:sz w:val="24"/>
          <w:szCs w:val="24"/>
        </w:rPr>
        <w:t xml:space="preserve"> продукції на 9</w:t>
      </w:r>
      <w:r w:rsidRPr="0026266B">
        <w:rPr>
          <w:rFonts w:ascii="Times New Roman" w:eastAsia="Calibri" w:hAnsi="Times New Roman" w:cs="Times New Roman"/>
          <w:sz w:val="24"/>
          <w:szCs w:val="24"/>
          <w:lang w:val="ru-RU"/>
        </w:rPr>
        <w:t>79</w:t>
      </w:r>
      <w:r w:rsidRPr="0026266B">
        <w:rPr>
          <w:rFonts w:ascii="Times New Roman" w:eastAsia="Calibri" w:hAnsi="Times New Roman" w:cs="Times New Roman"/>
          <w:sz w:val="24"/>
          <w:szCs w:val="24"/>
        </w:rPr>
        <w:t>,</w:t>
      </w:r>
      <w:r w:rsidRPr="0026266B">
        <w:rPr>
          <w:rFonts w:ascii="Times New Roman" w:eastAsia="Calibri" w:hAnsi="Times New Roman" w:cs="Times New Roman"/>
          <w:sz w:val="24"/>
          <w:szCs w:val="24"/>
          <w:lang w:val="ru-RU"/>
        </w:rPr>
        <w:t>0</w:t>
      </w:r>
      <w:r w:rsidRPr="0026266B">
        <w:rPr>
          <w:rFonts w:ascii="Times New Roman" w:eastAsia="Calibri" w:hAnsi="Times New Roman" w:cs="Times New Roman"/>
          <w:sz w:val="24"/>
          <w:szCs w:val="24"/>
        </w:rPr>
        <w:t xml:space="preserve"> млн. грн., що склало 95,5 % виконання Програми.</w:t>
      </w:r>
    </w:p>
    <w:p w:rsidR="004F51C1" w:rsidRPr="0026266B" w:rsidRDefault="0026266B" w:rsidP="00134F22">
      <w:pPr>
        <w:pStyle w:val="a9"/>
        <w:spacing w:after="0"/>
        <w:ind w:left="0"/>
        <w:jc w:val="both"/>
        <w:rPr>
          <w:rFonts w:ascii="Times New Roman" w:eastAsia="Calibri" w:hAnsi="Times New Roman" w:cs="Times New Roman"/>
          <w:sz w:val="24"/>
          <w:szCs w:val="24"/>
        </w:rPr>
      </w:pPr>
      <w:r w:rsidRPr="00134F22">
        <w:rPr>
          <w:rFonts w:ascii="Times New Roman" w:eastAsia="Calibri" w:hAnsi="Times New Roman" w:cs="Times New Roman"/>
          <w:b/>
          <w:sz w:val="24"/>
          <w:szCs w:val="24"/>
          <w:u w:val="single"/>
        </w:rPr>
        <w:t>Товариство з обмеженою відповідальністю «НАК»</w:t>
      </w:r>
      <w:r w:rsidRPr="0026266B">
        <w:rPr>
          <w:rFonts w:ascii="Times New Roman" w:eastAsia="Calibri" w:hAnsi="Times New Roman" w:cs="Times New Roman"/>
          <w:sz w:val="24"/>
          <w:szCs w:val="24"/>
        </w:rPr>
        <w:t xml:space="preserve"> спеціалізується на виробництві жирного сиру - бринзи «Болгарська». У 2020 році виробили 694,1 тонн сиру жирного</w:t>
      </w:r>
      <w:r w:rsidR="00134F22">
        <w:rPr>
          <w:rFonts w:ascii="Times New Roman" w:hAnsi="Times New Roman" w:cs="Times New Roman"/>
          <w:sz w:val="24"/>
          <w:szCs w:val="24"/>
        </w:rPr>
        <w:t>.</w:t>
      </w:r>
      <w:r w:rsidRPr="0026266B">
        <w:rPr>
          <w:rFonts w:ascii="Times New Roman" w:eastAsia="Calibri" w:hAnsi="Times New Roman" w:cs="Times New Roman"/>
          <w:sz w:val="24"/>
          <w:szCs w:val="24"/>
        </w:rPr>
        <w:t xml:space="preserve"> </w:t>
      </w:r>
    </w:p>
    <w:p w:rsidR="0026266B" w:rsidRPr="0026266B" w:rsidRDefault="00134F22" w:rsidP="001456CE">
      <w:pPr>
        <w:pStyle w:val="a9"/>
        <w:spacing w:after="0"/>
        <w:ind w:left="0"/>
        <w:jc w:val="both"/>
        <w:rPr>
          <w:rFonts w:ascii="Times New Roman" w:eastAsia="Calibri" w:hAnsi="Times New Roman" w:cs="Times New Roman"/>
          <w:sz w:val="24"/>
          <w:szCs w:val="24"/>
        </w:rPr>
      </w:pPr>
      <w:r w:rsidRPr="00134F22">
        <w:rPr>
          <w:rFonts w:ascii="Times New Roman" w:hAnsi="Times New Roman" w:cs="Times New Roman"/>
          <w:b/>
          <w:sz w:val="24"/>
          <w:szCs w:val="24"/>
          <w:u w:val="single"/>
        </w:rPr>
        <w:t>Товариство</w:t>
      </w:r>
      <w:r w:rsidR="0026266B" w:rsidRPr="00134F22">
        <w:rPr>
          <w:rFonts w:ascii="Times New Roman" w:eastAsia="Calibri" w:hAnsi="Times New Roman" w:cs="Times New Roman"/>
          <w:b/>
          <w:sz w:val="24"/>
          <w:szCs w:val="24"/>
          <w:u w:val="single"/>
        </w:rPr>
        <w:t xml:space="preserve"> з обмеженою відповідальністю «Еталон - Плюс»</w:t>
      </w:r>
      <w:r w:rsidR="0026266B" w:rsidRPr="0026266B">
        <w:rPr>
          <w:rFonts w:ascii="Times New Roman" w:eastAsia="Calibri" w:hAnsi="Times New Roman" w:cs="Times New Roman"/>
          <w:sz w:val="24"/>
          <w:szCs w:val="24"/>
        </w:rPr>
        <w:t xml:space="preserve"> є виробництво кисломолочної продукції, масла вершкового, маргарину, олії соняшникової, сиру (сичужного та свіжого неферментованого), молока рідкого обробленого. У 2020 році підприємство виробило масла вершкового – 26,5 тонн, маргарину 53,4 тонн</w:t>
      </w:r>
      <w:r>
        <w:rPr>
          <w:rFonts w:ascii="Times New Roman" w:hAnsi="Times New Roman" w:cs="Times New Roman"/>
          <w:sz w:val="24"/>
          <w:szCs w:val="24"/>
        </w:rPr>
        <w:t>,</w:t>
      </w:r>
      <w:r w:rsidR="0026266B" w:rsidRPr="0026266B">
        <w:rPr>
          <w:rFonts w:ascii="Times New Roman" w:eastAsia="Calibri" w:hAnsi="Times New Roman" w:cs="Times New Roman"/>
          <w:sz w:val="24"/>
          <w:szCs w:val="24"/>
        </w:rPr>
        <w:t xml:space="preserve"> кисломолочної продукції – 430,2 тонн, олії соняшникової – 193,5 тонн</w:t>
      </w:r>
      <w:r>
        <w:rPr>
          <w:rFonts w:ascii="Times New Roman" w:hAnsi="Times New Roman" w:cs="Times New Roman"/>
          <w:sz w:val="24"/>
          <w:szCs w:val="24"/>
        </w:rPr>
        <w:t>,</w:t>
      </w:r>
      <w:r w:rsidR="0026266B" w:rsidRPr="0026266B">
        <w:rPr>
          <w:rFonts w:ascii="Times New Roman" w:eastAsia="Calibri" w:hAnsi="Times New Roman" w:cs="Times New Roman"/>
          <w:sz w:val="24"/>
          <w:szCs w:val="24"/>
        </w:rPr>
        <w:t xml:space="preserve"> сиру  сичужного і ферментованого -130,9 тонн,  молока рідкого обробленого - 890,2 тонн.</w:t>
      </w:r>
    </w:p>
    <w:p w:rsidR="0026266B" w:rsidRPr="0026266B" w:rsidRDefault="0026266B" w:rsidP="00134F22">
      <w:pPr>
        <w:pStyle w:val="a9"/>
        <w:spacing w:after="0"/>
        <w:ind w:left="0"/>
        <w:jc w:val="both"/>
        <w:rPr>
          <w:rFonts w:ascii="Times New Roman" w:eastAsia="Calibri" w:hAnsi="Times New Roman" w:cs="Times New Roman"/>
          <w:sz w:val="24"/>
          <w:szCs w:val="24"/>
        </w:rPr>
      </w:pPr>
      <w:r w:rsidRPr="0026266B">
        <w:rPr>
          <w:rFonts w:ascii="Times New Roman" w:eastAsia="Calibri" w:hAnsi="Times New Roman" w:cs="Times New Roman"/>
          <w:sz w:val="24"/>
          <w:szCs w:val="24"/>
        </w:rPr>
        <w:t xml:space="preserve">Дане підприємство постійно шукає шляхи збільшення виробництва та обсягів реалізації продукції. </w:t>
      </w:r>
    </w:p>
    <w:p w:rsidR="0026266B" w:rsidRPr="0026266B" w:rsidRDefault="0026266B" w:rsidP="00134F22">
      <w:pPr>
        <w:pStyle w:val="a9"/>
        <w:spacing w:after="0"/>
        <w:ind w:left="0"/>
        <w:jc w:val="both"/>
        <w:rPr>
          <w:rFonts w:ascii="Times New Roman" w:eastAsia="Calibri" w:hAnsi="Times New Roman" w:cs="Times New Roman"/>
          <w:sz w:val="24"/>
          <w:szCs w:val="24"/>
        </w:rPr>
      </w:pPr>
      <w:r w:rsidRPr="00134F22">
        <w:rPr>
          <w:rFonts w:ascii="Times New Roman" w:eastAsia="Calibri" w:hAnsi="Times New Roman" w:cs="Times New Roman"/>
          <w:b/>
          <w:sz w:val="24"/>
          <w:szCs w:val="24"/>
          <w:u w:val="single"/>
        </w:rPr>
        <w:t>Костянтинівська кондитерська фабрика АТ ВО «КОНТІ»</w:t>
      </w:r>
      <w:r w:rsidRPr="0026266B">
        <w:rPr>
          <w:rFonts w:ascii="Times New Roman" w:eastAsia="Calibri" w:hAnsi="Times New Roman" w:cs="Times New Roman"/>
          <w:b/>
          <w:sz w:val="24"/>
          <w:szCs w:val="24"/>
        </w:rPr>
        <w:t xml:space="preserve"> </w:t>
      </w:r>
      <w:r w:rsidRPr="0026266B">
        <w:rPr>
          <w:rFonts w:ascii="Times New Roman" w:eastAsia="Calibri" w:hAnsi="Times New Roman" w:cs="Times New Roman"/>
          <w:sz w:val="24"/>
          <w:szCs w:val="24"/>
        </w:rPr>
        <w:t>спеціалізується на виробництві кондитерських виробів, а саме: печива солодкого, вафель, цукерок шоколадних, карамелі та іншого.</w:t>
      </w:r>
      <w:r w:rsidR="00134F22">
        <w:rPr>
          <w:rFonts w:ascii="Times New Roman" w:hAnsi="Times New Roman" w:cs="Times New Roman"/>
          <w:sz w:val="24"/>
          <w:szCs w:val="24"/>
        </w:rPr>
        <w:t xml:space="preserve"> </w:t>
      </w:r>
      <w:r w:rsidRPr="0026266B">
        <w:rPr>
          <w:rFonts w:ascii="Times New Roman" w:eastAsia="Calibri" w:hAnsi="Times New Roman" w:cs="Times New Roman"/>
          <w:sz w:val="24"/>
          <w:szCs w:val="24"/>
        </w:rPr>
        <w:t>У 2020 році  вироблено 25182,0 т кондитерськи</w:t>
      </w:r>
      <w:r w:rsidR="00134F22">
        <w:rPr>
          <w:rFonts w:ascii="Times New Roman" w:hAnsi="Times New Roman" w:cs="Times New Roman"/>
          <w:sz w:val="24"/>
          <w:szCs w:val="24"/>
        </w:rPr>
        <w:t>х виробів</w:t>
      </w:r>
      <w:r w:rsidRPr="0026266B">
        <w:rPr>
          <w:rFonts w:ascii="Times New Roman" w:eastAsia="Calibri" w:hAnsi="Times New Roman" w:cs="Times New Roman"/>
          <w:sz w:val="24"/>
          <w:szCs w:val="24"/>
        </w:rPr>
        <w:t>.</w:t>
      </w:r>
    </w:p>
    <w:p w:rsidR="00963600" w:rsidRDefault="00963600" w:rsidP="00134F22">
      <w:pPr>
        <w:pStyle w:val="a9"/>
        <w:spacing w:after="0"/>
        <w:ind w:left="0" w:firstLine="708"/>
        <w:jc w:val="both"/>
        <w:rPr>
          <w:rFonts w:ascii="Times New Roman" w:eastAsia="Calibri" w:hAnsi="Times New Roman" w:cs="Times New Roman"/>
          <w:sz w:val="24"/>
          <w:szCs w:val="24"/>
        </w:rPr>
      </w:pPr>
    </w:p>
    <w:p w:rsidR="0026266B" w:rsidRPr="0026266B" w:rsidRDefault="0026266B" w:rsidP="00134F22">
      <w:pPr>
        <w:pStyle w:val="a9"/>
        <w:spacing w:after="0"/>
        <w:ind w:left="0" w:firstLine="708"/>
        <w:jc w:val="both"/>
        <w:rPr>
          <w:rFonts w:ascii="Times New Roman" w:eastAsia="Calibri" w:hAnsi="Times New Roman" w:cs="Times New Roman"/>
          <w:sz w:val="24"/>
          <w:szCs w:val="24"/>
        </w:rPr>
      </w:pPr>
      <w:r w:rsidRPr="0026266B">
        <w:rPr>
          <w:rFonts w:ascii="Times New Roman" w:eastAsia="Calibri" w:hAnsi="Times New Roman" w:cs="Times New Roman"/>
          <w:sz w:val="24"/>
          <w:szCs w:val="24"/>
        </w:rPr>
        <w:t xml:space="preserve">Реалізовано продукції у 2020 році на суму 882,6 млн. грн. </w:t>
      </w:r>
    </w:p>
    <w:p w:rsidR="0026266B" w:rsidRPr="0026266B" w:rsidRDefault="0026266B" w:rsidP="00134F22">
      <w:pPr>
        <w:pStyle w:val="a9"/>
        <w:spacing w:after="0"/>
        <w:ind w:left="0" w:firstLine="708"/>
        <w:jc w:val="both"/>
        <w:rPr>
          <w:rFonts w:ascii="Times New Roman" w:eastAsia="Calibri" w:hAnsi="Times New Roman" w:cs="Times New Roman"/>
          <w:sz w:val="24"/>
          <w:szCs w:val="24"/>
        </w:rPr>
      </w:pPr>
      <w:r w:rsidRPr="0026266B">
        <w:rPr>
          <w:rFonts w:ascii="Times New Roman" w:eastAsia="Calibri" w:hAnsi="Times New Roman" w:cs="Times New Roman"/>
          <w:sz w:val="24"/>
          <w:szCs w:val="24"/>
        </w:rPr>
        <w:lastRenderedPageBreak/>
        <w:t>На усіх трьох підприємствах харчової промисловості впроваджені системи контролю безпечності харчових продуктів (НАССР).</w:t>
      </w:r>
    </w:p>
    <w:p w:rsidR="0026266B" w:rsidRDefault="0026266B" w:rsidP="001456CE">
      <w:pPr>
        <w:pStyle w:val="a7"/>
        <w:shd w:val="clear" w:color="auto" w:fill="auto"/>
        <w:spacing w:before="0" w:after="0" w:line="240" w:lineRule="auto"/>
        <w:ind w:firstLine="0"/>
        <w:jc w:val="both"/>
        <w:rPr>
          <w:rFonts w:ascii="Times New Roman" w:hAnsi="Times New Roman" w:cs="Times New Roman"/>
          <w:sz w:val="24"/>
          <w:szCs w:val="24"/>
        </w:rPr>
      </w:pPr>
    </w:p>
    <w:p w:rsidR="00076E7B" w:rsidRPr="00076E7B" w:rsidRDefault="00076E7B" w:rsidP="00076E7B">
      <w:pPr>
        <w:spacing w:after="0"/>
        <w:ind w:firstLine="851"/>
        <w:jc w:val="both"/>
        <w:rPr>
          <w:rFonts w:ascii="Times New Roman" w:hAnsi="Times New Roman" w:cs="Times New Roman"/>
          <w:sz w:val="24"/>
          <w:szCs w:val="24"/>
          <w:shd w:val="clear" w:color="auto" w:fill="FFFFFF"/>
        </w:rPr>
      </w:pPr>
      <w:r w:rsidRPr="00076E7B">
        <w:rPr>
          <w:rFonts w:ascii="Times New Roman" w:hAnsi="Times New Roman" w:cs="Times New Roman"/>
          <w:sz w:val="24"/>
          <w:szCs w:val="24"/>
        </w:rPr>
        <w:t xml:space="preserve">Для поліпшення інвестиційного клімату та залучення прямих інвестицій у виробництво у </w:t>
      </w:r>
      <w:r>
        <w:rPr>
          <w:rFonts w:ascii="Times New Roman" w:hAnsi="Times New Roman" w:cs="Times New Roman"/>
          <w:sz w:val="24"/>
          <w:szCs w:val="24"/>
        </w:rPr>
        <w:t>громад</w:t>
      </w:r>
      <w:r w:rsidRPr="00076E7B">
        <w:rPr>
          <w:rFonts w:ascii="Times New Roman" w:hAnsi="Times New Roman" w:cs="Times New Roman"/>
          <w:sz w:val="24"/>
          <w:szCs w:val="24"/>
        </w:rPr>
        <w:t xml:space="preserve">і планується </w:t>
      </w:r>
      <w:r w:rsidRPr="00084DE8">
        <w:rPr>
          <w:rFonts w:ascii="Times New Roman" w:hAnsi="Times New Roman" w:cs="Times New Roman"/>
          <w:b/>
          <w:sz w:val="24"/>
          <w:szCs w:val="24"/>
        </w:rPr>
        <w:t>створення індустріального парку</w:t>
      </w:r>
      <w:r w:rsidRPr="00076E7B">
        <w:rPr>
          <w:rFonts w:ascii="Times New Roman" w:hAnsi="Times New Roman" w:cs="Times New Roman"/>
          <w:sz w:val="24"/>
          <w:szCs w:val="24"/>
        </w:rPr>
        <w:t>.</w:t>
      </w:r>
      <w:r w:rsidRPr="00076E7B">
        <w:rPr>
          <w:rFonts w:ascii="Times New Roman" w:hAnsi="Times New Roman" w:cs="Times New Roman"/>
          <w:sz w:val="24"/>
          <w:szCs w:val="24"/>
          <w:shd w:val="clear" w:color="auto" w:fill="FFFFFF"/>
        </w:rPr>
        <w:t xml:space="preserve"> </w:t>
      </w:r>
    </w:p>
    <w:p w:rsidR="00076E7B" w:rsidRPr="00076E7B" w:rsidRDefault="00076E7B" w:rsidP="00076E7B">
      <w:pPr>
        <w:spacing w:after="0"/>
        <w:ind w:firstLine="851"/>
        <w:jc w:val="both"/>
        <w:rPr>
          <w:rFonts w:ascii="Times New Roman" w:hAnsi="Times New Roman" w:cs="Times New Roman"/>
          <w:sz w:val="24"/>
          <w:szCs w:val="24"/>
          <w:shd w:val="clear" w:color="auto" w:fill="FFFFFF"/>
        </w:rPr>
      </w:pPr>
      <w:r w:rsidRPr="00076E7B">
        <w:rPr>
          <w:rFonts w:ascii="Times New Roman" w:hAnsi="Times New Roman" w:cs="Times New Roman"/>
          <w:sz w:val="24"/>
          <w:szCs w:val="24"/>
          <w:shd w:val="clear" w:color="auto" w:fill="FFFFFF"/>
        </w:rPr>
        <w:t xml:space="preserve">Рішенням Костянтинівської міської ради від </w:t>
      </w:r>
      <w:r w:rsidRPr="00076E7B">
        <w:rPr>
          <w:rFonts w:ascii="Times New Roman" w:hAnsi="Times New Roman" w:cs="Times New Roman"/>
          <w:sz w:val="24"/>
          <w:szCs w:val="24"/>
        </w:rPr>
        <w:t>21.12.2017 №6/81-1481</w:t>
      </w:r>
      <w:r w:rsidRPr="00076E7B">
        <w:rPr>
          <w:rFonts w:ascii="Times New Roman" w:hAnsi="Times New Roman" w:cs="Times New Roman"/>
          <w:sz w:val="24"/>
          <w:szCs w:val="24"/>
          <w:shd w:val="clear" w:color="auto" w:fill="FFFFFF"/>
        </w:rPr>
        <w:t xml:space="preserve"> затверджена Концепція індустріального парку «Техносіті», а 25.01.2018 прийнято рішення № 6/82-1511 «Про створення індустріального парку «Техносіті» строком на 49 років.</w:t>
      </w:r>
    </w:p>
    <w:p w:rsidR="00076E7B" w:rsidRPr="00076E7B" w:rsidRDefault="00076E7B" w:rsidP="00076E7B">
      <w:pPr>
        <w:autoSpaceDE w:val="0"/>
        <w:autoSpaceDN w:val="0"/>
        <w:adjustRightInd w:val="0"/>
        <w:spacing w:after="0"/>
        <w:ind w:firstLine="709"/>
        <w:jc w:val="both"/>
        <w:rPr>
          <w:rFonts w:ascii="Times New Roman" w:hAnsi="Times New Roman" w:cs="Times New Roman"/>
          <w:sz w:val="24"/>
          <w:szCs w:val="24"/>
          <w:shd w:val="clear" w:color="auto" w:fill="FFFFFF"/>
        </w:rPr>
      </w:pPr>
      <w:r w:rsidRPr="00076E7B">
        <w:rPr>
          <w:rFonts w:ascii="Times New Roman" w:hAnsi="Times New Roman" w:cs="Times New Roman"/>
          <w:sz w:val="24"/>
          <w:szCs w:val="24"/>
          <w:shd w:val="clear" w:color="auto" w:fill="FFFFFF"/>
        </w:rPr>
        <w:t>Індустріальний парк «Техносіті» включено до Реєстру індустріальних парків (витяг №29 від 22.02.2018).</w:t>
      </w:r>
    </w:p>
    <w:p w:rsidR="00AF64EB" w:rsidRDefault="00076E7B" w:rsidP="00076E7B">
      <w:pPr>
        <w:autoSpaceDE w:val="0"/>
        <w:autoSpaceDN w:val="0"/>
        <w:adjustRightInd w:val="0"/>
        <w:spacing w:after="0"/>
        <w:ind w:firstLine="709"/>
        <w:jc w:val="both"/>
        <w:rPr>
          <w:rFonts w:ascii="Times New Roman" w:hAnsi="Times New Roman" w:cs="Times New Roman"/>
          <w:sz w:val="24"/>
          <w:szCs w:val="24"/>
          <w:shd w:val="clear" w:color="auto" w:fill="FFFFFF"/>
        </w:rPr>
      </w:pPr>
      <w:r w:rsidRPr="00076E7B">
        <w:rPr>
          <w:rFonts w:ascii="Times New Roman" w:hAnsi="Times New Roman" w:cs="Times New Roman"/>
          <w:sz w:val="24"/>
          <w:szCs w:val="24"/>
          <w:shd w:val="clear" w:color="auto" w:fill="FFFFFF"/>
        </w:rPr>
        <w:t xml:space="preserve">На початку 2020 року </w:t>
      </w:r>
      <w:r w:rsidR="00AF64EB" w:rsidRPr="00076E7B">
        <w:rPr>
          <w:rFonts w:ascii="Times New Roman" w:hAnsi="Times New Roman" w:cs="Times New Roman"/>
          <w:sz w:val="24"/>
          <w:szCs w:val="24"/>
          <w:shd w:val="clear" w:color="auto" w:fill="FFFFFF"/>
        </w:rPr>
        <w:t xml:space="preserve">проведено конкурс з вибору керуючої компанії </w:t>
      </w:r>
      <w:r w:rsidRPr="00076E7B">
        <w:rPr>
          <w:rFonts w:ascii="Times New Roman" w:hAnsi="Times New Roman" w:cs="Times New Roman"/>
          <w:sz w:val="24"/>
          <w:szCs w:val="24"/>
          <w:shd w:val="clear" w:color="auto" w:fill="FFFFFF"/>
        </w:rPr>
        <w:t>індустріального парку «Техносіті»</w:t>
      </w:r>
      <w:r w:rsidR="00AF64EB">
        <w:rPr>
          <w:rFonts w:ascii="Times New Roman" w:hAnsi="Times New Roman" w:cs="Times New Roman"/>
          <w:sz w:val="24"/>
          <w:szCs w:val="24"/>
          <w:shd w:val="clear" w:color="auto" w:fill="FFFFFF"/>
        </w:rPr>
        <w:t>, переможцем якого</w:t>
      </w:r>
      <w:r w:rsidRPr="00076E7B">
        <w:rPr>
          <w:rFonts w:ascii="Times New Roman" w:hAnsi="Times New Roman" w:cs="Times New Roman"/>
          <w:sz w:val="24"/>
          <w:szCs w:val="24"/>
          <w:shd w:val="clear" w:color="auto" w:fill="FFFFFF"/>
        </w:rPr>
        <w:t xml:space="preserve"> </w:t>
      </w:r>
      <w:r w:rsidR="00AF64EB" w:rsidRPr="00076E7B">
        <w:rPr>
          <w:rFonts w:ascii="Times New Roman" w:hAnsi="Times New Roman" w:cs="Times New Roman"/>
          <w:sz w:val="24"/>
          <w:szCs w:val="24"/>
          <w:shd w:val="clear" w:color="auto" w:fill="FFFFFF"/>
        </w:rPr>
        <w:t xml:space="preserve">визначено </w:t>
      </w:r>
      <w:r w:rsidR="00AF64EB">
        <w:rPr>
          <w:rFonts w:ascii="Times New Roman" w:hAnsi="Times New Roman" w:cs="Times New Roman"/>
          <w:sz w:val="24"/>
          <w:szCs w:val="24"/>
          <w:shd w:val="clear" w:color="auto" w:fill="FFFFFF"/>
        </w:rPr>
        <w:t>колективне підприємство</w:t>
      </w:r>
      <w:r w:rsidR="00AF64EB" w:rsidRPr="00076E7B">
        <w:rPr>
          <w:rFonts w:ascii="Times New Roman" w:hAnsi="Times New Roman" w:cs="Times New Roman"/>
          <w:sz w:val="24"/>
          <w:szCs w:val="24"/>
          <w:shd w:val="clear" w:color="auto" w:fill="FFFFFF"/>
        </w:rPr>
        <w:t xml:space="preserve"> «ЕЛІТ-СКЛО»</w:t>
      </w:r>
      <w:r w:rsidR="00AF64EB">
        <w:rPr>
          <w:rFonts w:ascii="Times New Roman" w:hAnsi="Times New Roman" w:cs="Times New Roman"/>
          <w:sz w:val="24"/>
          <w:szCs w:val="24"/>
          <w:shd w:val="clear" w:color="auto" w:fill="FFFFFF"/>
        </w:rPr>
        <w:t>.</w:t>
      </w:r>
    </w:p>
    <w:p w:rsidR="00076E7B" w:rsidRPr="00076E7B" w:rsidRDefault="00076E7B" w:rsidP="00076E7B">
      <w:pPr>
        <w:spacing w:after="0"/>
        <w:ind w:firstLine="708"/>
        <w:jc w:val="both"/>
        <w:rPr>
          <w:rFonts w:ascii="Times New Roman" w:hAnsi="Times New Roman" w:cs="Times New Roman"/>
          <w:sz w:val="24"/>
          <w:szCs w:val="24"/>
          <w:shd w:val="clear" w:color="auto" w:fill="FFFFFF"/>
        </w:rPr>
      </w:pPr>
      <w:r w:rsidRPr="00076E7B">
        <w:rPr>
          <w:rFonts w:ascii="Times New Roman" w:hAnsi="Times New Roman" w:cs="Times New Roman"/>
          <w:sz w:val="24"/>
          <w:szCs w:val="24"/>
          <w:shd w:val="clear" w:color="auto" w:fill="FFFFFF"/>
        </w:rPr>
        <w:t>На даний час згідно зі звітом керуючої компанії індустріального парку проведені консультації з фахівцями з геології та геодезії, переговори з будівельними організаціями.</w:t>
      </w:r>
    </w:p>
    <w:p w:rsidR="00076E7B" w:rsidRDefault="00076E7B" w:rsidP="00076E7B">
      <w:pPr>
        <w:spacing w:after="0"/>
        <w:ind w:firstLine="708"/>
        <w:jc w:val="both"/>
        <w:rPr>
          <w:rFonts w:ascii="Times New Roman" w:hAnsi="Times New Roman" w:cs="Times New Roman"/>
          <w:sz w:val="24"/>
          <w:szCs w:val="24"/>
          <w:shd w:val="clear" w:color="auto" w:fill="FFFFFF"/>
        </w:rPr>
      </w:pPr>
      <w:r w:rsidRPr="00076E7B">
        <w:rPr>
          <w:rFonts w:ascii="Times New Roman" w:hAnsi="Times New Roman" w:cs="Times New Roman"/>
          <w:sz w:val="24"/>
          <w:szCs w:val="24"/>
          <w:shd w:val="clear" w:color="auto" w:fill="FFFFFF"/>
        </w:rPr>
        <w:t>Складено план-схему розміщення основних вузлів виробництва, пр</w:t>
      </w:r>
      <w:r w:rsidR="00AF64EB">
        <w:rPr>
          <w:rFonts w:ascii="Times New Roman" w:hAnsi="Times New Roman" w:cs="Times New Roman"/>
          <w:sz w:val="24"/>
          <w:szCs w:val="24"/>
          <w:shd w:val="clear" w:color="auto" w:fill="FFFFFF"/>
        </w:rPr>
        <w:t xml:space="preserve">омислових і побутових будівель, </w:t>
      </w:r>
      <w:r w:rsidRPr="00076E7B">
        <w:rPr>
          <w:rFonts w:ascii="Times New Roman" w:hAnsi="Times New Roman" w:cs="Times New Roman"/>
          <w:sz w:val="24"/>
          <w:szCs w:val="24"/>
          <w:shd w:val="clear" w:color="auto" w:fill="FFFFFF"/>
        </w:rPr>
        <w:t>розпочато розроблення двох проектно-кошторисних документацій стосовно проведення геологорозвідувальних і вишукувальних та підготовчих робіт з планування майданчика парку.</w:t>
      </w:r>
    </w:p>
    <w:p w:rsidR="007F321F" w:rsidRPr="007F321F" w:rsidRDefault="007F321F" w:rsidP="007F321F">
      <w:pPr>
        <w:spacing w:after="0"/>
        <w:ind w:firstLine="708"/>
        <w:jc w:val="center"/>
        <w:rPr>
          <w:rFonts w:ascii="Times New Roman" w:hAnsi="Times New Roman"/>
          <w:b/>
          <w:color w:val="252525"/>
          <w:sz w:val="24"/>
          <w:szCs w:val="24"/>
          <w:shd w:val="clear" w:color="auto" w:fill="FFFFFF"/>
          <w:lang w:eastAsia="ru-RU"/>
        </w:rPr>
      </w:pPr>
    </w:p>
    <w:p w:rsidR="007F321F" w:rsidRDefault="007F321F" w:rsidP="007F321F">
      <w:pPr>
        <w:spacing w:after="0"/>
        <w:ind w:firstLine="708"/>
        <w:jc w:val="center"/>
        <w:rPr>
          <w:rFonts w:ascii="Times New Roman" w:hAnsi="Times New Roman"/>
          <w:b/>
          <w:color w:val="252525"/>
          <w:sz w:val="24"/>
          <w:szCs w:val="24"/>
          <w:shd w:val="clear" w:color="auto" w:fill="FFFFFF"/>
          <w:lang w:eastAsia="ru-RU"/>
        </w:rPr>
      </w:pPr>
      <w:r w:rsidRPr="000D66BE">
        <w:rPr>
          <w:rFonts w:ascii="Times New Roman" w:hAnsi="Times New Roman"/>
          <w:b/>
          <w:color w:val="252525"/>
          <w:sz w:val="24"/>
          <w:szCs w:val="24"/>
          <w:shd w:val="clear" w:color="auto" w:fill="FFFFFF"/>
          <w:lang w:eastAsia="ru-RU"/>
        </w:rPr>
        <w:t>Карта-схема індустріального парку «ТЕХНОСІТІ»</w:t>
      </w:r>
    </w:p>
    <w:p w:rsidR="007F321F" w:rsidRPr="00963600" w:rsidRDefault="007F321F" w:rsidP="007F321F">
      <w:pPr>
        <w:spacing w:after="0"/>
        <w:ind w:firstLine="708"/>
        <w:jc w:val="center"/>
        <w:rPr>
          <w:rFonts w:ascii="Times New Roman" w:hAnsi="Times New Roman" w:cs="Times New Roman"/>
          <w:sz w:val="6"/>
          <w:szCs w:val="6"/>
        </w:rPr>
      </w:pPr>
    </w:p>
    <w:p w:rsidR="00076E7B" w:rsidRPr="00076E7B" w:rsidRDefault="007F321F" w:rsidP="007F321F">
      <w:pPr>
        <w:pStyle w:val="a7"/>
        <w:shd w:val="clear" w:color="auto" w:fill="auto"/>
        <w:spacing w:before="0" w:after="0" w:line="276" w:lineRule="auto"/>
        <w:ind w:firstLine="0"/>
        <w:jc w:val="center"/>
        <w:rPr>
          <w:rFonts w:ascii="Times New Roman" w:hAnsi="Times New Roman" w:cs="Times New Roman"/>
          <w:sz w:val="24"/>
          <w:szCs w:val="24"/>
        </w:rPr>
      </w:pPr>
      <w:r w:rsidRPr="007F321F">
        <w:rPr>
          <w:rFonts w:ascii="Times New Roman" w:hAnsi="Times New Roman" w:cs="Times New Roman"/>
          <w:noProof/>
          <w:sz w:val="24"/>
          <w:szCs w:val="24"/>
          <w:lang w:val="ru-RU" w:eastAsia="ru-RU"/>
        </w:rPr>
        <w:drawing>
          <wp:inline distT="0" distB="0" distL="0" distR="0">
            <wp:extent cx="4612232" cy="2080260"/>
            <wp:effectExtent l="19050" t="0" r="0" b="0"/>
            <wp:docPr id="1" name="Рисунок 1" descr="Игорь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горь 212"/>
                    <pic:cNvPicPr>
                      <a:picLocks noChangeAspect="1" noChangeArrowheads="1"/>
                    </pic:cNvPicPr>
                  </pic:nvPicPr>
                  <pic:blipFill>
                    <a:blip r:embed="rId23"/>
                    <a:srcRect/>
                    <a:stretch>
                      <a:fillRect/>
                    </a:stretch>
                  </pic:blipFill>
                  <pic:spPr bwMode="auto">
                    <a:xfrm>
                      <a:off x="0" y="0"/>
                      <a:ext cx="4615248" cy="2081620"/>
                    </a:xfrm>
                    <a:prstGeom prst="rect">
                      <a:avLst/>
                    </a:prstGeom>
                    <a:noFill/>
                    <a:ln w="9525">
                      <a:noFill/>
                      <a:miter lim="800000"/>
                      <a:headEnd/>
                      <a:tailEnd/>
                    </a:ln>
                  </pic:spPr>
                </pic:pic>
              </a:graphicData>
            </a:graphic>
          </wp:inline>
        </w:drawing>
      </w:r>
    </w:p>
    <w:p w:rsidR="007F321F" w:rsidRDefault="007F321F" w:rsidP="00E05855">
      <w:pPr>
        <w:spacing w:after="0"/>
        <w:ind w:firstLine="851"/>
        <w:jc w:val="center"/>
        <w:rPr>
          <w:rFonts w:ascii="Times New Roman" w:hAnsi="Times New Roman" w:cs="Times New Roman"/>
          <w:b/>
          <w:sz w:val="24"/>
          <w:szCs w:val="24"/>
        </w:rPr>
      </w:pPr>
      <w:bookmarkStart w:id="21" w:name="bookmark32"/>
      <w:bookmarkStart w:id="22" w:name="bookmark33"/>
    </w:p>
    <w:p w:rsidR="00E05855" w:rsidRPr="00E05855" w:rsidRDefault="00E05855" w:rsidP="00E05855">
      <w:pPr>
        <w:spacing w:after="0"/>
        <w:ind w:firstLine="851"/>
        <w:jc w:val="center"/>
        <w:rPr>
          <w:rFonts w:ascii="Times New Roman" w:hAnsi="Times New Roman" w:cs="Times New Roman"/>
          <w:b/>
          <w:sz w:val="24"/>
          <w:szCs w:val="24"/>
        </w:rPr>
      </w:pPr>
      <w:r w:rsidRPr="00E05855">
        <w:rPr>
          <w:rFonts w:ascii="Times New Roman" w:hAnsi="Times New Roman" w:cs="Times New Roman"/>
          <w:b/>
          <w:sz w:val="24"/>
          <w:szCs w:val="24"/>
        </w:rPr>
        <w:t>1.5.2. Агропромисловий комплекс</w:t>
      </w:r>
    </w:p>
    <w:p w:rsidR="00E05855" w:rsidRPr="00E05855" w:rsidRDefault="00E05855" w:rsidP="00E05855">
      <w:pPr>
        <w:spacing w:after="0"/>
        <w:ind w:firstLine="851"/>
        <w:jc w:val="both"/>
        <w:rPr>
          <w:rFonts w:ascii="Times New Roman" w:hAnsi="Times New Roman" w:cs="Times New Roman"/>
          <w:sz w:val="24"/>
          <w:szCs w:val="24"/>
        </w:rPr>
      </w:pPr>
      <w:r w:rsidRPr="00E05855">
        <w:rPr>
          <w:rFonts w:ascii="Times New Roman" w:hAnsi="Times New Roman" w:cs="Times New Roman"/>
          <w:sz w:val="24"/>
          <w:szCs w:val="24"/>
        </w:rPr>
        <w:t xml:space="preserve">Сільське господарство є основною галуззю економіки на території, (далі - сільські ради Костянтинівської МТГ), стан справ в якій створює соціально – економічні умови  сільського розвитку,  впливає на рівень і якість життя сільського населення. </w:t>
      </w:r>
    </w:p>
    <w:p w:rsidR="00E05855" w:rsidRPr="00E05855" w:rsidRDefault="00E05855" w:rsidP="00E05855">
      <w:pPr>
        <w:spacing w:after="0"/>
        <w:ind w:firstLine="851"/>
        <w:jc w:val="both"/>
        <w:rPr>
          <w:rFonts w:ascii="Times New Roman" w:hAnsi="Times New Roman" w:cs="Times New Roman"/>
          <w:sz w:val="24"/>
          <w:szCs w:val="24"/>
        </w:rPr>
      </w:pPr>
      <w:r w:rsidRPr="00E05855">
        <w:rPr>
          <w:rFonts w:ascii="Times New Roman" w:hAnsi="Times New Roman" w:cs="Times New Roman"/>
          <w:sz w:val="24"/>
          <w:szCs w:val="24"/>
        </w:rPr>
        <w:t xml:space="preserve"> На території </w:t>
      </w:r>
      <w:proofErr w:type="spellStart"/>
      <w:r w:rsidRPr="00E05855">
        <w:rPr>
          <w:rFonts w:ascii="Times New Roman" w:hAnsi="Times New Roman" w:cs="Times New Roman"/>
          <w:sz w:val="24"/>
          <w:szCs w:val="24"/>
        </w:rPr>
        <w:t>старостинських</w:t>
      </w:r>
      <w:proofErr w:type="spellEnd"/>
      <w:r w:rsidRPr="00E05855">
        <w:rPr>
          <w:rFonts w:ascii="Times New Roman" w:hAnsi="Times New Roman" w:cs="Times New Roman"/>
          <w:sz w:val="24"/>
          <w:szCs w:val="24"/>
        </w:rPr>
        <w:t xml:space="preserve"> округів: </w:t>
      </w:r>
      <w:proofErr w:type="spellStart"/>
      <w:r w:rsidRPr="00E05855">
        <w:rPr>
          <w:rFonts w:ascii="Times New Roman" w:hAnsi="Times New Roman" w:cs="Times New Roman"/>
          <w:sz w:val="24"/>
          <w:szCs w:val="24"/>
        </w:rPr>
        <w:t>Білокузьминівського</w:t>
      </w:r>
      <w:proofErr w:type="spellEnd"/>
      <w:r w:rsidRPr="00E05855">
        <w:rPr>
          <w:rFonts w:ascii="Times New Roman" w:hAnsi="Times New Roman" w:cs="Times New Roman"/>
          <w:sz w:val="24"/>
          <w:szCs w:val="24"/>
        </w:rPr>
        <w:t xml:space="preserve">, </w:t>
      </w:r>
      <w:proofErr w:type="spellStart"/>
      <w:r w:rsidRPr="00E05855">
        <w:rPr>
          <w:rFonts w:ascii="Times New Roman" w:hAnsi="Times New Roman" w:cs="Times New Roman"/>
          <w:sz w:val="24"/>
          <w:szCs w:val="24"/>
        </w:rPr>
        <w:t>Предтечинського</w:t>
      </w:r>
      <w:proofErr w:type="spellEnd"/>
      <w:r w:rsidRPr="00E05855">
        <w:rPr>
          <w:rFonts w:ascii="Times New Roman" w:hAnsi="Times New Roman" w:cs="Times New Roman"/>
          <w:sz w:val="24"/>
          <w:szCs w:val="24"/>
        </w:rPr>
        <w:t xml:space="preserve">, </w:t>
      </w:r>
      <w:proofErr w:type="spellStart"/>
      <w:r w:rsidRPr="00E05855">
        <w:rPr>
          <w:rFonts w:ascii="Times New Roman" w:hAnsi="Times New Roman" w:cs="Times New Roman"/>
          <w:sz w:val="24"/>
          <w:szCs w:val="24"/>
        </w:rPr>
        <w:t>Новодмитрівського</w:t>
      </w:r>
      <w:proofErr w:type="spellEnd"/>
      <w:r w:rsidRPr="00E05855">
        <w:rPr>
          <w:rFonts w:ascii="Times New Roman" w:hAnsi="Times New Roman" w:cs="Times New Roman"/>
          <w:sz w:val="24"/>
          <w:szCs w:val="24"/>
        </w:rPr>
        <w:t xml:space="preserve">, Миколаївського, </w:t>
      </w:r>
      <w:proofErr w:type="spellStart"/>
      <w:r w:rsidRPr="00E05855">
        <w:rPr>
          <w:rFonts w:ascii="Times New Roman" w:hAnsi="Times New Roman" w:cs="Times New Roman"/>
          <w:sz w:val="24"/>
          <w:szCs w:val="24"/>
        </w:rPr>
        <w:t>Віролюбівського</w:t>
      </w:r>
      <w:proofErr w:type="spellEnd"/>
      <w:r w:rsidRPr="00E05855">
        <w:rPr>
          <w:rFonts w:ascii="Times New Roman" w:hAnsi="Times New Roman" w:cs="Times New Roman"/>
          <w:sz w:val="24"/>
          <w:szCs w:val="24"/>
        </w:rPr>
        <w:t xml:space="preserve">, </w:t>
      </w:r>
      <w:proofErr w:type="spellStart"/>
      <w:r w:rsidRPr="00E05855">
        <w:rPr>
          <w:rFonts w:ascii="Times New Roman" w:hAnsi="Times New Roman" w:cs="Times New Roman"/>
          <w:sz w:val="24"/>
          <w:szCs w:val="24"/>
        </w:rPr>
        <w:t>Марківського</w:t>
      </w:r>
      <w:proofErr w:type="spellEnd"/>
      <w:r w:rsidRPr="00E05855">
        <w:rPr>
          <w:rFonts w:ascii="Times New Roman" w:hAnsi="Times New Roman" w:cs="Times New Roman"/>
          <w:sz w:val="24"/>
          <w:szCs w:val="24"/>
        </w:rPr>
        <w:t xml:space="preserve">, </w:t>
      </w:r>
      <w:proofErr w:type="spellStart"/>
      <w:r w:rsidRPr="00E05855">
        <w:rPr>
          <w:rFonts w:ascii="Times New Roman" w:hAnsi="Times New Roman" w:cs="Times New Roman"/>
          <w:sz w:val="24"/>
          <w:szCs w:val="24"/>
        </w:rPr>
        <w:t>Іванопільського</w:t>
      </w:r>
      <w:proofErr w:type="spellEnd"/>
      <w:r w:rsidRPr="00E05855">
        <w:rPr>
          <w:rFonts w:ascii="Times New Roman" w:hAnsi="Times New Roman" w:cs="Times New Roman"/>
          <w:sz w:val="24"/>
          <w:szCs w:val="24"/>
        </w:rPr>
        <w:t xml:space="preserve">, які увійшли до складу  Костянтинівської міської  територіальної громади здійснюють  сільськогосподарську діяльність 25 суб’єктів господарювання, з них сільгосппідприємств - 10 од., фермерських господарств - 15 од., в користуванні яких знаходиться 17,2 тис. га ріллі. </w:t>
      </w:r>
    </w:p>
    <w:p w:rsidR="00E05855" w:rsidRPr="00E05855" w:rsidRDefault="00E05855" w:rsidP="00E05855">
      <w:pPr>
        <w:spacing w:after="0"/>
        <w:ind w:firstLine="851"/>
        <w:jc w:val="both"/>
        <w:rPr>
          <w:rFonts w:ascii="Times New Roman" w:hAnsi="Times New Roman" w:cs="Times New Roman"/>
          <w:sz w:val="24"/>
          <w:szCs w:val="24"/>
        </w:rPr>
      </w:pPr>
      <w:r w:rsidRPr="00E05855">
        <w:rPr>
          <w:rFonts w:ascii="Times New Roman" w:hAnsi="Times New Roman" w:cs="Times New Roman"/>
          <w:sz w:val="24"/>
          <w:szCs w:val="24"/>
        </w:rPr>
        <w:t xml:space="preserve">Всі сільгосппідприємства і фермерські господарства займаються вирощуванням зернових та технічних </w:t>
      </w:r>
      <w:r w:rsidR="00084DE8">
        <w:rPr>
          <w:rFonts w:ascii="Times New Roman" w:hAnsi="Times New Roman" w:cs="Times New Roman"/>
          <w:sz w:val="24"/>
          <w:szCs w:val="24"/>
        </w:rPr>
        <w:t xml:space="preserve">культур, СФГ «Артем» </w:t>
      </w:r>
      <w:r w:rsidRPr="00E05855">
        <w:rPr>
          <w:rFonts w:ascii="Times New Roman" w:hAnsi="Times New Roman" w:cs="Times New Roman"/>
          <w:sz w:val="24"/>
          <w:szCs w:val="24"/>
        </w:rPr>
        <w:t>також займається виробництвом продукції тваринництва (свинарство), СПП «Андрєєв» вирощуванням грибів.</w:t>
      </w:r>
    </w:p>
    <w:p w:rsidR="00E05855" w:rsidRPr="00E05855" w:rsidRDefault="00E05855" w:rsidP="00E05855">
      <w:pPr>
        <w:spacing w:after="0"/>
        <w:ind w:firstLine="851"/>
        <w:jc w:val="both"/>
        <w:rPr>
          <w:rFonts w:ascii="Times New Roman" w:hAnsi="Times New Roman" w:cs="Times New Roman"/>
          <w:sz w:val="24"/>
          <w:szCs w:val="24"/>
        </w:rPr>
      </w:pPr>
      <w:r w:rsidRPr="00E05855">
        <w:rPr>
          <w:rFonts w:ascii="Times New Roman" w:hAnsi="Times New Roman" w:cs="Times New Roman"/>
          <w:sz w:val="24"/>
          <w:szCs w:val="24"/>
        </w:rPr>
        <w:t xml:space="preserve">  Посушливі погодні умови протягом квітня, з червня поточного року призвели до зниження врожайності ранніх зернових культур, валове виробництво зерна у вазі після доробки з площі 9,0 тис. га при врожайності 29,2 ц/га становить 26,3  тис. тонн, в тому числі озимої пшениці  намолочено 22,0 тис. тонн, ярого ячменю намолочено 1,6 тис. тонн.</w:t>
      </w:r>
    </w:p>
    <w:p w:rsidR="00E05855" w:rsidRPr="00E05855" w:rsidRDefault="00E05855" w:rsidP="00E05855">
      <w:pPr>
        <w:spacing w:after="0"/>
        <w:ind w:firstLine="851"/>
        <w:jc w:val="both"/>
        <w:rPr>
          <w:rFonts w:ascii="Times New Roman" w:hAnsi="Times New Roman" w:cs="Times New Roman"/>
          <w:sz w:val="24"/>
          <w:szCs w:val="24"/>
        </w:rPr>
      </w:pPr>
      <w:r w:rsidRPr="00E05855">
        <w:rPr>
          <w:rFonts w:ascii="Times New Roman" w:hAnsi="Times New Roman" w:cs="Times New Roman"/>
          <w:sz w:val="24"/>
          <w:szCs w:val="24"/>
        </w:rPr>
        <w:lastRenderedPageBreak/>
        <w:t xml:space="preserve"> Аномальна висока температура повітря, відсутність опадів протягом червня - вересня 2020 року призвели до значної втрати врожаю соняшнику, кукурудзи. Валове виробництво соняшнику з площі 6,7 тис. га при врожайності 13,6 ц/га складає 9,1 тис. тонн, урожайність соняшнику майже на 45 % менш ніж у 2019 році.</w:t>
      </w:r>
    </w:p>
    <w:p w:rsidR="00E05855" w:rsidRPr="00E05855" w:rsidRDefault="00E05855" w:rsidP="00E05855">
      <w:pPr>
        <w:spacing w:after="0"/>
        <w:ind w:firstLine="851"/>
        <w:jc w:val="both"/>
        <w:rPr>
          <w:rFonts w:ascii="Times New Roman" w:hAnsi="Times New Roman" w:cs="Times New Roman"/>
          <w:sz w:val="24"/>
          <w:szCs w:val="24"/>
        </w:rPr>
      </w:pPr>
      <w:r w:rsidRPr="00E05855">
        <w:rPr>
          <w:rFonts w:ascii="Times New Roman" w:hAnsi="Times New Roman" w:cs="Times New Roman"/>
          <w:sz w:val="24"/>
          <w:szCs w:val="24"/>
        </w:rPr>
        <w:t xml:space="preserve">  Вирощування грибів у 2020 році - 320 тонн, що на 24,3 % більше обсягів виробництва грибів у  минулому році. </w:t>
      </w:r>
    </w:p>
    <w:p w:rsidR="00E05855" w:rsidRPr="00E05855" w:rsidRDefault="00E05855" w:rsidP="00E05855">
      <w:pPr>
        <w:spacing w:after="0"/>
        <w:ind w:firstLine="851"/>
        <w:jc w:val="both"/>
        <w:rPr>
          <w:rFonts w:ascii="Times New Roman" w:hAnsi="Times New Roman" w:cs="Times New Roman"/>
          <w:sz w:val="24"/>
          <w:szCs w:val="24"/>
        </w:rPr>
      </w:pPr>
      <w:r w:rsidRPr="00E05855">
        <w:rPr>
          <w:rFonts w:ascii="Times New Roman" w:hAnsi="Times New Roman" w:cs="Times New Roman"/>
          <w:sz w:val="24"/>
          <w:szCs w:val="24"/>
        </w:rPr>
        <w:t xml:space="preserve">Під урожай 2021 року сільгосппідприємствами та фермерськими господарствами  за восени минулого року  посіяно 9,2 тис. га озимих культур, з них 9,1 тис. га  озимих  зернових  культур та 100 га озимого ріпаку, але через довготривалу відсутність дощів  посіви  озимих культур знаходяться в незадовільному стані.  </w:t>
      </w:r>
    </w:p>
    <w:p w:rsidR="00E05855" w:rsidRPr="00E05855" w:rsidRDefault="00E05855" w:rsidP="00E05855">
      <w:pPr>
        <w:spacing w:after="0"/>
        <w:ind w:firstLine="851"/>
        <w:jc w:val="both"/>
        <w:rPr>
          <w:rFonts w:ascii="Times New Roman" w:hAnsi="Times New Roman" w:cs="Times New Roman"/>
          <w:sz w:val="24"/>
          <w:szCs w:val="24"/>
        </w:rPr>
      </w:pPr>
      <w:r w:rsidRPr="00E05855">
        <w:rPr>
          <w:rFonts w:ascii="Times New Roman" w:hAnsi="Times New Roman" w:cs="Times New Roman"/>
          <w:sz w:val="24"/>
          <w:szCs w:val="24"/>
        </w:rPr>
        <w:t xml:space="preserve">  Через скрутне фінансове становище на підприємстві, труднощі з кормовою базою в СФГ «Артем» поступово зменшують поголів’я свиней на відгодівлі. Обсяги вирощування м’яса свиней в 2020 році складають 84,9 тонн, що становить до обсягів 2019 року 120,6 %, поголів’я свиней на кінець року налічується  на рівні 950 голів.</w:t>
      </w:r>
    </w:p>
    <w:p w:rsidR="00E05855" w:rsidRPr="00E05855" w:rsidRDefault="00E05855" w:rsidP="00E05855">
      <w:pPr>
        <w:spacing w:after="0"/>
        <w:ind w:firstLine="851"/>
        <w:jc w:val="both"/>
        <w:rPr>
          <w:rFonts w:ascii="Times New Roman" w:hAnsi="Times New Roman" w:cs="Times New Roman"/>
          <w:sz w:val="24"/>
          <w:szCs w:val="24"/>
        </w:rPr>
      </w:pPr>
      <w:r w:rsidRPr="00E05855">
        <w:rPr>
          <w:rFonts w:ascii="Times New Roman" w:hAnsi="Times New Roman" w:cs="Times New Roman"/>
          <w:sz w:val="24"/>
          <w:szCs w:val="24"/>
        </w:rPr>
        <w:t xml:space="preserve">  Утриманням поголів’я  великої рогатої худоби  та виробництвом молока займалось підсобне господарство ПАТ «</w:t>
      </w:r>
      <w:proofErr w:type="spellStart"/>
      <w:r w:rsidRPr="00E05855">
        <w:rPr>
          <w:rFonts w:ascii="Times New Roman" w:hAnsi="Times New Roman" w:cs="Times New Roman"/>
          <w:sz w:val="24"/>
          <w:szCs w:val="24"/>
        </w:rPr>
        <w:t>Часівоярський</w:t>
      </w:r>
      <w:proofErr w:type="spellEnd"/>
      <w:r w:rsidRPr="00E05855">
        <w:rPr>
          <w:rFonts w:ascii="Times New Roman" w:hAnsi="Times New Roman" w:cs="Times New Roman"/>
          <w:sz w:val="24"/>
          <w:szCs w:val="24"/>
        </w:rPr>
        <w:t xml:space="preserve"> вогнетривкий комбінат». У зв’язку зі скороченням площі земель в користуванні підприємства (власники земельних паїв забрали свої земельні ділянки та передали їх в оренду іншим суб’єктам господарювання),                                                                    ПАТ «</w:t>
      </w:r>
      <w:proofErr w:type="spellStart"/>
      <w:r w:rsidRPr="00E05855">
        <w:rPr>
          <w:rFonts w:ascii="Times New Roman" w:hAnsi="Times New Roman" w:cs="Times New Roman"/>
          <w:sz w:val="24"/>
          <w:szCs w:val="24"/>
        </w:rPr>
        <w:t>Часівоярський</w:t>
      </w:r>
      <w:proofErr w:type="spellEnd"/>
      <w:r w:rsidRPr="00E05855">
        <w:rPr>
          <w:rFonts w:ascii="Times New Roman" w:hAnsi="Times New Roman" w:cs="Times New Roman"/>
          <w:sz w:val="24"/>
          <w:szCs w:val="24"/>
        </w:rPr>
        <w:t xml:space="preserve"> вогнетривкий комбінат» станом на 01 березня 2020 року повністю ліквідувало поголів’я корів. З початку року виробництво молока склало всього 8,5 тонн, вирощування м’яса худоби у живій вазі 0,1 тонни.</w:t>
      </w:r>
    </w:p>
    <w:p w:rsidR="00E05855" w:rsidRPr="00E05855" w:rsidRDefault="00E05855" w:rsidP="00E05855">
      <w:pPr>
        <w:spacing w:after="0"/>
        <w:ind w:firstLine="851"/>
        <w:jc w:val="both"/>
        <w:rPr>
          <w:rFonts w:ascii="Times New Roman" w:hAnsi="Times New Roman" w:cs="Times New Roman"/>
          <w:sz w:val="24"/>
          <w:szCs w:val="24"/>
        </w:rPr>
      </w:pPr>
    </w:p>
    <w:p w:rsidR="00E05855" w:rsidRPr="00084DE8" w:rsidRDefault="00E05855" w:rsidP="00084DE8">
      <w:pPr>
        <w:spacing w:after="0"/>
        <w:ind w:firstLine="851"/>
        <w:jc w:val="both"/>
        <w:rPr>
          <w:rFonts w:ascii="Times New Roman" w:hAnsi="Times New Roman" w:cs="Times New Roman"/>
          <w:sz w:val="24"/>
          <w:szCs w:val="24"/>
        </w:rPr>
      </w:pPr>
      <w:r w:rsidRPr="00E05855">
        <w:rPr>
          <w:rFonts w:ascii="Times New Roman" w:hAnsi="Times New Roman" w:cs="Times New Roman"/>
          <w:sz w:val="24"/>
          <w:szCs w:val="24"/>
        </w:rPr>
        <w:t xml:space="preserve"> У 2020 році валове виробництво продукції сільського господарства в постійних цінах 2016 року складає 176,8 млн. грн.</w:t>
      </w:r>
    </w:p>
    <w:p w:rsidR="007F321F" w:rsidRDefault="007F321F" w:rsidP="00134F22">
      <w:pPr>
        <w:pStyle w:val="40"/>
        <w:keepNext/>
        <w:keepLines/>
        <w:shd w:val="clear" w:color="auto" w:fill="auto"/>
        <w:spacing w:before="0" w:after="80" w:line="220" w:lineRule="exact"/>
        <w:ind w:left="140"/>
        <w:jc w:val="center"/>
      </w:pPr>
    </w:p>
    <w:p w:rsidR="00134F22" w:rsidRPr="004F51C1" w:rsidRDefault="00E05855" w:rsidP="00134F22">
      <w:pPr>
        <w:pStyle w:val="40"/>
        <w:keepNext/>
        <w:keepLines/>
        <w:shd w:val="clear" w:color="auto" w:fill="auto"/>
        <w:spacing w:before="0" w:after="80" w:line="220" w:lineRule="exact"/>
        <w:ind w:left="140"/>
        <w:jc w:val="center"/>
        <w:rPr>
          <w:sz w:val="24"/>
          <w:szCs w:val="24"/>
        </w:rPr>
      </w:pPr>
      <w:r>
        <w:rPr>
          <w:sz w:val="24"/>
          <w:szCs w:val="24"/>
        </w:rPr>
        <w:t>1.5.3</w:t>
      </w:r>
      <w:r w:rsidR="004F51C1" w:rsidRPr="004F51C1">
        <w:rPr>
          <w:sz w:val="24"/>
          <w:szCs w:val="24"/>
        </w:rPr>
        <w:t>.</w:t>
      </w:r>
      <w:r w:rsidR="00134F22" w:rsidRPr="004F51C1">
        <w:rPr>
          <w:sz w:val="24"/>
          <w:szCs w:val="24"/>
        </w:rPr>
        <w:t xml:space="preserve"> Підприємництво</w:t>
      </w:r>
      <w:bookmarkEnd w:id="21"/>
      <w:bookmarkEnd w:id="22"/>
    </w:p>
    <w:p w:rsidR="00533991" w:rsidRPr="00533991" w:rsidRDefault="00533991" w:rsidP="00533991">
      <w:pPr>
        <w:autoSpaceDE w:val="0"/>
        <w:autoSpaceDN w:val="0"/>
        <w:adjustRightInd w:val="0"/>
        <w:ind w:firstLine="708"/>
        <w:jc w:val="both"/>
        <w:rPr>
          <w:rFonts w:ascii="Times New Roman" w:hAnsi="Times New Roman" w:cs="Times New Roman"/>
          <w:sz w:val="24"/>
          <w:szCs w:val="24"/>
          <w:lang w:eastAsia="uk-UA"/>
        </w:rPr>
      </w:pPr>
      <w:r w:rsidRPr="00533991">
        <w:rPr>
          <w:rFonts w:ascii="Times New Roman" w:hAnsi="Times New Roman" w:cs="Times New Roman"/>
          <w:sz w:val="24"/>
          <w:szCs w:val="24"/>
          <w:lang w:eastAsia="uk-UA"/>
        </w:rPr>
        <w:t xml:space="preserve">Розбудова сектору малого і середнього підприємництва відіграє ключову роль в підвищенні рівня конкурентоспроможності регіону, відновленні сталого економічного зростання та розвитку сприятливого середовища для провадження підприємницької діяльності, залучення інвестицій в економіку регіону та країни в цілому. Мале та середнє підприємництво відіграє значну роль у підвищенні рівня зайнятості та рівня життя населення. </w:t>
      </w:r>
    </w:p>
    <w:p w:rsidR="00533991" w:rsidRPr="00533991" w:rsidRDefault="00533991" w:rsidP="00533991">
      <w:pPr>
        <w:ind w:firstLine="556"/>
        <w:jc w:val="both"/>
        <w:rPr>
          <w:rFonts w:ascii="Times New Roman" w:hAnsi="Times New Roman" w:cs="Times New Roman"/>
          <w:sz w:val="24"/>
          <w:szCs w:val="24"/>
          <w:lang w:eastAsia="uk-UA"/>
        </w:rPr>
      </w:pPr>
      <w:r w:rsidRPr="00533991">
        <w:rPr>
          <w:rFonts w:ascii="Times New Roman" w:hAnsi="Times New Roman" w:cs="Times New Roman"/>
          <w:sz w:val="24"/>
          <w:szCs w:val="24"/>
          <w:lang w:eastAsia="uk-UA"/>
        </w:rPr>
        <w:t>За даними Головного управління ДПС у Донецькій області станом на 01.01.2021 налічувалось 2806 суб’єктів мал</w:t>
      </w:r>
      <w:r w:rsidR="004F51C1">
        <w:rPr>
          <w:rFonts w:ascii="Times New Roman" w:hAnsi="Times New Roman" w:cs="Times New Roman"/>
          <w:sz w:val="24"/>
          <w:szCs w:val="24"/>
          <w:lang w:eastAsia="uk-UA"/>
        </w:rPr>
        <w:t>ого і середнього підприємництва</w:t>
      </w:r>
      <w:r w:rsidRPr="00533991">
        <w:rPr>
          <w:rFonts w:ascii="Times New Roman" w:hAnsi="Times New Roman" w:cs="Times New Roman"/>
          <w:sz w:val="24"/>
          <w:szCs w:val="24"/>
          <w:lang w:eastAsia="uk-UA"/>
        </w:rPr>
        <w:t xml:space="preserve">, з яких 17 (або 0,5 %) – середніх підприємств; 493 (або 17,8 %) – малих підприємства, з них 448 (або 16,2 %) – мікропідприємств, 2296 (або 81,7 %)- фізичних осіб - підприємців. </w:t>
      </w:r>
    </w:p>
    <w:p w:rsidR="00533991" w:rsidRPr="00533991" w:rsidRDefault="00533991" w:rsidP="00533991">
      <w:pPr>
        <w:ind w:firstLine="556"/>
        <w:jc w:val="center"/>
        <w:rPr>
          <w:rFonts w:ascii="Times New Roman" w:hAnsi="Times New Roman" w:cs="Times New Roman"/>
          <w:b/>
          <w:bCs/>
          <w:sz w:val="24"/>
          <w:szCs w:val="24"/>
        </w:rPr>
      </w:pPr>
      <w:r w:rsidRPr="00533991">
        <w:rPr>
          <w:rFonts w:ascii="Times New Roman" w:hAnsi="Times New Roman" w:cs="Times New Roman"/>
          <w:b/>
          <w:bCs/>
          <w:sz w:val="24"/>
          <w:szCs w:val="24"/>
        </w:rPr>
        <w:t>Питома вага основних показників діяльності підприємств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2693"/>
        <w:gridCol w:w="2835"/>
      </w:tblGrid>
      <w:tr w:rsidR="00533991" w:rsidRPr="00533991" w:rsidTr="00C63C94">
        <w:tc>
          <w:tcPr>
            <w:tcW w:w="3936" w:type="dxa"/>
            <w:vMerge w:val="restart"/>
            <w:vAlign w:val="center"/>
          </w:tcPr>
          <w:p w:rsidR="00533991" w:rsidRPr="00533991" w:rsidRDefault="00533991" w:rsidP="00C63C94">
            <w:pPr>
              <w:pStyle w:val="Default"/>
              <w:jc w:val="center"/>
              <w:rPr>
                <w:rFonts w:ascii="Times New Roman" w:eastAsia="Calibri" w:hAnsi="Times New Roman" w:cs="Times New Roman"/>
                <w:b/>
                <w:color w:val="auto"/>
                <w:szCs w:val="24"/>
                <w:lang w:val="uk-UA"/>
              </w:rPr>
            </w:pPr>
            <w:r w:rsidRPr="00533991">
              <w:rPr>
                <w:rFonts w:ascii="Times New Roman" w:eastAsia="Calibri" w:hAnsi="Times New Roman" w:cs="Times New Roman"/>
                <w:b/>
                <w:color w:val="auto"/>
                <w:szCs w:val="24"/>
                <w:lang w:val="uk-UA"/>
              </w:rPr>
              <w:t>Види підприємств</w:t>
            </w:r>
          </w:p>
          <w:p w:rsidR="00533991" w:rsidRPr="00533991" w:rsidRDefault="00533991" w:rsidP="00C63C94">
            <w:pPr>
              <w:jc w:val="center"/>
              <w:rPr>
                <w:rFonts w:ascii="Times New Roman" w:eastAsia="Calibri" w:hAnsi="Times New Roman" w:cs="Times New Roman"/>
                <w:b/>
                <w:sz w:val="24"/>
                <w:szCs w:val="24"/>
                <w:lang w:eastAsia="uk-UA"/>
              </w:rPr>
            </w:pPr>
          </w:p>
        </w:tc>
        <w:tc>
          <w:tcPr>
            <w:tcW w:w="5528" w:type="dxa"/>
            <w:gridSpan w:val="2"/>
          </w:tcPr>
          <w:p w:rsidR="00533991" w:rsidRPr="004F51C1" w:rsidRDefault="00533991" w:rsidP="004F51C1">
            <w:pPr>
              <w:pStyle w:val="Default"/>
              <w:jc w:val="center"/>
              <w:rPr>
                <w:rFonts w:ascii="Times New Roman" w:eastAsia="Calibri" w:hAnsi="Times New Roman" w:cs="Times New Roman"/>
                <w:b/>
                <w:color w:val="auto"/>
                <w:szCs w:val="24"/>
                <w:lang w:val="uk-UA"/>
              </w:rPr>
            </w:pPr>
            <w:r w:rsidRPr="00533991">
              <w:rPr>
                <w:rFonts w:ascii="Times New Roman" w:eastAsia="Calibri" w:hAnsi="Times New Roman" w:cs="Times New Roman"/>
                <w:b/>
                <w:bCs/>
                <w:color w:val="auto"/>
                <w:szCs w:val="24"/>
                <w:lang w:val="uk-UA"/>
              </w:rPr>
              <w:t>Питома</w:t>
            </w:r>
            <w:r w:rsidRPr="00533991">
              <w:rPr>
                <w:rFonts w:ascii="Times New Roman" w:eastAsia="Calibri" w:hAnsi="Times New Roman" w:cs="Times New Roman"/>
                <w:b/>
                <w:bCs/>
                <w:color w:val="auto"/>
                <w:szCs w:val="24"/>
              </w:rPr>
              <w:t xml:space="preserve"> вага, %</w:t>
            </w:r>
          </w:p>
        </w:tc>
      </w:tr>
      <w:tr w:rsidR="00533991" w:rsidRPr="00533991" w:rsidTr="00AF64EB">
        <w:tc>
          <w:tcPr>
            <w:tcW w:w="3936" w:type="dxa"/>
            <w:vMerge/>
          </w:tcPr>
          <w:p w:rsidR="00533991" w:rsidRPr="00533991" w:rsidRDefault="00533991" w:rsidP="00C63C94">
            <w:pPr>
              <w:jc w:val="both"/>
              <w:rPr>
                <w:rFonts w:ascii="Times New Roman" w:eastAsia="Calibri" w:hAnsi="Times New Roman" w:cs="Times New Roman"/>
                <w:b/>
                <w:sz w:val="24"/>
                <w:szCs w:val="24"/>
                <w:lang w:eastAsia="uk-UA"/>
              </w:rPr>
            </w:pPr>
          </w:p>
        </w:tc>
        <w:tc>
          <w:tcPr>
            <w:tcW w:w="2693" w:type="dxa"/>
          </w:tcPr>
          <w:p w:rsidR="00533991" w:rsidRPr="00533991" w:rsidRDefault="00533991" w:rsidP="00C63C94">
            <w:pPr>
              <w:pStyle w:val="Default"/>
              <w:jc w:val="center"/>
              <w:rPr>
                <w:rFonts w:ascii="Times New Roman" w:eastAsia="Calibri" w:hAnsi="Times New Roman" w:cs="Times New Roman"/>
                <w:b/>
                <w:color w:val="auto"/>
                <w:szCs w:val="24"/>
                <w:lang w:val="uk-UA"/>
              </w:rPr>
            </w:pPr>
            <w:r w:rsidRPr="00533991">
              <w:rPr>
                <w:rFonts w:ascii="Times New Roman" w:eastAsia="Calibri" w:hAnsi="Times New Roman" w:cs="Times New Roman"/>
                <w:b/>
                <w:color w:val="auto"/>
                <w:szCs w:val="24"/>
                <w:lang w:val="uk-UA"/>
              </w:rPr>
              <w:t>загальної кількості підприємств</w:t>
            </w:r>
          </w:p>
        </w:tc>
        <w:tc>
          <w:tcPr>
            <w:tcW w:w="2835" w:type="dxa"/>
            <w:vAlign w:val="center"/>
          </w:tcPr>
          <w:p w:rsidR="00533991" w:rsidRPr="00533991" w:rsidRDefault="00533991" w:rsidP="00AF64EB">
            <w:pPr>
              <w:pStyle w:val="Default"/>
              <w:jc w:val="center"/>
              <w:rPr>
                <w:rFonts w:ascii="Times New Roman" w:eastAsia="Calibri" w:hAnsi="Times New Roman" w:cs="Times New Roman"/>
                <w:b/>
                <w:color w:val="auto"/>
                <w:szCs w:val="24"/>
                <w:lang w:val="uk-UA"/>
              </w:rPr>
            </w:pPr>
            <w:r w:rsidRPr="00533991">
              <w:rPr>
                <w:rFonts w:ascii="Times New Roman" w:eastAsia="Calibri" w:hAnsi="Times New Roman" w:cs="Times New Roman"/>
                <w:b/>
                <w:color w:val="auto"/>
                <w:szCs w:val="24"/>
                <w:lang w:val="uk-UA"/>
              </w:rPr>
              <w:t>зайнятих працівників</w:t>
            </w:r>
          </w:p>
        </w:tc>
      </w:tr>
      <w:tr w:rsidR="00533991" w:rsidRPr="00533991" w:rsidTr="00AF64EB">
        <w:tc>
          <w:tcPr>
            <w:tcW w:w="3936" w:type="dxa"/>
            <w:vAlign w:val="center"/>
          </w:tcPr>
          <w:p w:rsidR="00533991" w:rsidRPr="00533991" w:rsidRDefault="00533991" w:rsidP="00AF64EB">
            <w:pPr>
              <w:rPr>
                <w:rFonts w:ascii="Times New Roman" w:eastAsia="Calibri" w:hAnsi="Times New Roman" w:cs="Times New Roman"/>
                <w:sz w:val="24"/>
                <w:szCs w:val="24"/>
                <w:lang w:eastAsia="uk-UA"/>
              </w:rPr>
            </w:pPr>
            <w:r w:rsidRPr="00533991">
              <w:rPr>
                <w:rFonts w:ascii="Times New Roman" w:eastAsia="Calibri" w:hAnsi="Times New Roman" w:cs="Times New Roman"/>
                <w:sz w:val="24"/>
                <w:szCs w:val="24"/>
                <w:lang w:eastAsia="uk-UA"/>
              </w:rPr>
              <w:t>Середні підприємства</w:t>
            </w:r>
          </w:p>
        </w:tc>
        <w:tc>
          <w:tcPr>
            <w:tcW w:w="2693" w:type="dxa"/>
            <w:vAlign w:val="center"/>
          </w:tcPr>
          <w:p w:rsidR="00533991" w:rsidRPr="00533991" w:rsidRDefault="00533991" w:rsidP="00AF64EB">
            <w:pPr>
              <w:jc w:val="center"/>
              <w:rPr>
                <w:rFonts w:ascii="Times New Roman" w:eastAsia="Calibri" w:hAnsi="Times New Roman" w:cs="Times New Roman"/>
                <w:sz w:val="24"/>
                <w:szCs w:val="24"/>
                <w:lang w:eastAsia="uk-UA"/>
              </w:rPr>
            </w:pPr>
            <w:r w:rsidRPr="00533991">
              <w:rPr>
                <w:rFonts w:ascii="Times New Roman" w:eastAsia="Calibri" w:hAnsi="Times New Roman" w:cs="Times New Roman"/>
                <w:sz w:val="24"/>
                <w:szCs w:val="24"/>
                <w:lang w:eastAsia="uk-UA"/>
              </w:rPr>
              <w:t>0,6</w:t>
            </w:r>
          </w:p>
        </w:tc>
        <w:tc>
          <w:tcPr>
            <w:tcW w:w="2835" w:type="dxa"/>
            <w:vAlign w:val="center"/>
          </w:tcPr>
          <w:p w:rsidR="00533991" w:rsidRPr="00533991" w:rsidRDefault="00533991" w:rsidP="00AF64EB">
            <w:pPr>
              <w:jc w:val="center"/>
              <w:rPr>
                <w:rFonts w:ascii="Times New Roman" w:eastAsia="Calibri" w:hAnsi="Times New Roman" w:cs="Times New Roman"/>
                <w:sz w:val="24"/>
                <w:szCs w:val="24"/>
                <w:lang w:eastAsia="uk-UA"/>
              </w:rPr>
            </w:pPr>
            <w:r w:rsidRPr="00533991">
              <w:rPr>
                <w:rFonts w:ascii="Times New Roman" w:eastAsia="Calibri" w:hAnsi="Times New Roman" w:cs="Times New Roman"/>
                <w:sz w:val="24"/>
                <w:szCs w:val="24"/>
                <w:lang w:eastAsia="uk-UA"/>
              </w:rPr>
              <w:t>49,8</w:t>
            </w:r>
          </w:p>
        </w:tc>
      </w:tr>
      <w:tr w:rsidR="00533991" w:rsidRPr="00533991" w:rsidTr="00AF64EB">
        <w:tc>
          <w:tcPr>
            <w:tcW w:w="3936" w:type="dxa"/>
            <w:vAlign w:val="center"/>
          </w:tcPr>
          <w:p w:rsidR="00533991" w:rsidRPr="00533991" w:rsidRDefault="00533991" w:rsidP="00AF64EB">
            <w:pPr>
              <w:rPr>
                <w:rFonts w:ascii="Times New Roman" w:eastAsia="Calibri" w:hAnsi="Times New Roman" w:cs="Times New Roman"/>
                <w:sz w:val="24"/>
                <w:szCs w:val="24"/>
                <w:lang w:eastAsia="uk-UA"/>
              </w:rPr>
            </w:pPr>
            <w:r w:rsidRPr="00533991">
              <w:rPr>
                <w:rFonts w:ascii="Times New Roman" w:eastAsia="Calibri" w:hAnsi="Times New Roman" w:cs="Times New Roman"/>
                <w:sz w:val="24"/>
                <w:szCs w:val="24"/>
                <w:lang w:eastAsia="uk-UA"/>
              </w:rPr>
              <w:t>Малі підприємства</w:t>
            </w:r>
          </w:p>
        </w:tc>
        <w:tc>
          <w:tcPr>
            <w:tcW w:w="2693" w:type="dxa"/>
            <w:vAlign w:val="center"/>
          </w:tcPr>
          <w:p w:rsidR="00533991" w:rsidRPr="00533991" w:rsidRDefault="00533991" w:rsidP="00AF64EB">
            <w:pPr>
              <w:jc w:val="center"/>
              <w:rPr>
                <w:rFonts w:ascii="Times New Roman" w:eastAsia="Calibri" w:hAnsi="Times New Roman" w:cs="Times New Roman"/>
                <w:sz w:val="24"/>
                <w:szCs w:val="24"/>
                <w:lang w:eastAsia="uk-UA"/>
              </w:rPr>
            </w:pPr>
            <w:r w:rsidRPr="00533991">
              <w:rPr>
                <w:rFonts w:ascii="Times New Roman" w:eastAsia="Calibri" w:hAnsi="Times New Roman" w:cs="Times New Roman"/>
                <w:sz w:val="24"/>
                <w:szCs w:val="24"/>
                <w:lang w:eastAsia="uk-UA"/>
              </w:rPr>
              <w:t>17,8</w:t>
            </w:r>
          </w:p>
        </w:tc>
        <w:tc>
          <w:tcPr>
            <w:tcW w:w="2835" w:type="dxa"/>
            <w:vAlign w:val="center"/>
          </w:tcPr>
          <w:p w:rsidR="00533991" w:rsidRPr="00533991" w:rsidRDefault="00533991" w:rsidP="00AF64EB">
            <w:pPr>
              <w:jc w:val="center"/>
              <w:rPr>
                <w:rFonts w:ascii="Times New Roman" w:eastAsia="Calibri" w:hAnsi="Times New Roman" w:cs="Times New Roman"/>
                <w:sz w:val="24"/>
                <w:szCs w:val="24"/>
                <w:lang w:eastAsia="uk-UA"/>
              </w:rPr>
            </w:pPr>
            <w:r w:rsidRPr="00533991">
              <w:rPr>
                <w:rFonts w:ascii="Times New Roman" w:eastAsia="Calibri" w:hAnsi="Times New Roman" w:cs="Times New Roman"/>
                <w:sz w:val="24"/>
                <w:szCs w:val="24"/>
                <w:lang w:eastAsia="uk-UA"/>
              </w:rPr>
              <w:t>25,4</w:t>
            </w:r>
          </w:p>
        </w:tc>
      </w:tr>
      <w:tr w:rsidR="00533991" w:rsidRPr="00533991" w:rsidTr="00AF64EB">
        <w:trPr>
          <w:trHeight w:val="404"/>
        </w:trPr>
        <w:tc>
          <w:tcPr>
            <w:tcW w:w="3936" w:type="dxa"/>
            <w:vAlign w:val="center"/>
          </w:tcPr>
          <w:p w:rsidR="00533991" w:rsidRPr="00533991" w:rsidRDefault="00533991" w:rsidP="00AF64EB">
            <w:pPr>
              <w:pStyle w:val="Default"/>
              <w:rPr>
                <w:rFonts w:ascii="Times New Roman" w:eastAsia="Calibri" w:hAnsi="Times New Roman" w:cs="Times New Roman"/>
                <w:color w:val="auto"/>
                <w:szCs w:val="22"/>
                <w:lang w:val="uk-UA"/>
              </w:rPr>
            </w:pPr>
            <w:r w:rsidRPr="00533991">
              <w:rPr>
                <w:rFonts w:ascii="Times New Roman" w:eastAsia="Calibri" w:hAnsi="Times New Roman" w:cs="Times New Roman"/>
                <w:color w:val="auto"/>
                <w:szCs w:val="22"/>
                <w:lang w:val="uk-UA"/>
              </w:rPr>
              <w:t xml:space="preserve">з них мікропідприємства </w:t>
            </w:r>
          </w:p>
        </w:tc>
        <w:tc>
          <w:tcPr>
            <w:tcW w:w="2693" w:type="dxa"/>
            <w:vAlign w:val="center"/>
          </w:tcPr>
          <w:p w:rsidR="00533991" w:rsidRPr="00533991" w:rsidRDefault="00533991" w:rsidP="00AF64EB">
            <w:pPr>
              <w:jc w:val="center"/>
              <w:rPr>
                <w:rFonts w:ascii="Times New Roman" w:eastAsia="Calibri" w:hAnsi="Times New Roman" w:cs="Times New Roman"/>
                <w:sz w:val="24"/>
                <w:szCs w:val="24"/>
                <w:lang w:eastAsia="uk-UA"/>
              </w:rPr>
            </w:pPr>
            <w:r w:rsidRPr="00533991">
              <w:rPr>
                <w:rFonts w:ascii="Times New Roman" w:eastAsia="Calibri" w:hAnsi="Times New Roman" w:cs="Times New Roman"/>
                <w:sz w:val="24"/>
                <w:szCs w:val="24"/>
                <w:lang w:eastAsia="uk-UA"/>
              </w:rPr>
              <w:t>16,2</w:t>
            </w:r>
          </w:p>
        </w:tc>
        <w:tc>
          <w:tcPr>
            <w:tcW w:w="2835" w:type="dxa"/>
            <w:vAlign w:val="center"/>
          </w:tcPr>
          <w:p w:rsidR="00533991" w:rsidRPr="00533991" w:rsidRDefault="00533991" w:rsidP="00AF64EB">
            <w:pPr>
              <w:jc w:val="center"/>
              <w:rPr>
                <w:rFonts w:ascii="Times New Roman" w:eastAsia="Calibri" w:hAnsi="Times New Roman" w:cs="Times New Roman"/>
                <w:sz w:val="24"/>
                <w:szCs w:val="24"/>
                <w:lang w:eastAsia="uk-UA"/>
              </w:rPr>
            </w:pPr>
            <w:r w:rsidRPr="00533991">
              <w:rPr>
                <w:rFonts w:ascii="Times New Roman" w:eastAsia="Calibri" w:hAnsi="Times New Roman" w:cs="Times New Roman"/>
                <w:sz w:val="24"/>
                <w:szCs w:val="24"/>
                <w:lang w:eastAsia="uk-UA"/>
              </w:rPr>
              <w:t>7,7</w:t>
            </w:r>
          </w:p>
        </w:tc>
      </w:tr>
      <w:tr w:rsidR="00533991" w:rsidRPr="00533991" w:rsidTr="00AF64EB">
        <w:trPr>
          <w:trHeight w:val="404"/>
        </w:trPr>
        <w:tc>
          <w:tcPr>
            <w:tcW w:w="3936" w:type="dxa"/>
            <w:vAlign w:val="center"/>
          </w:tcPr>
          <w:p w:rsidR="00533991" w:rsidRPr="00533991" w:rsidRDefault="00533991" w:rsidP="00AF64EB">
            <w:pPr>
              <w:pStyle w:val="Default"/>
              <w:rPr>
                <w:rFonts w:ascii="Times New Roman" w:eastAsia="Calibri" w:hAnsi="Times New Roman" w:cs="Times New Roman"/>
                <w:color w:val="auto"/>
                <w:szCs w:val="22"/>
                <w:lang w:val="uk-UA"/>
              </w:rPr>
            </w:pPr>
            <w:r w:rsidRPr="00533991">
              <w:rPr>
                <w:rFonts w:ascii="Times New Roman" w:eastAsia="Calibri" w:hAnsi="Times New Roman" w:cs="Times New Roman"/>
                <w:color w:val="auto"/>
                <w:szCs w:val="22"/>
                <w:lang w:val="uk-UA"/>
              </w:rPr>
              <w:t>Фізичні особи-підприємці</w:t>
            </w:r>
          </w:p>
        </w:tc>
        <w:tc>
          <w:tcPr>
            <w:tcW w:w="2693" w:type="dxa"/>
            <w:vAlign w:val="center"/>
          </w:tcPr>
          <w:p w:rsidR="00533991" w:rsidRPr="00533991" w:rsidRDefault="00533991" w:rsidP="00AF64EB">
            <w:pPr>
              <w:jc w:val="center"/>
              <w:rPr>
                <w:rFonts w:ascii="Times New Roman" w:eastAsia="Calibri" w:hAnsi="Times New Roman" w:cs="Times New Roman"/>
                <w:sz w:val="24"/>
                <w:szCs w:val="24"/>
                <w:lang w:eastAsia="uk-UA"/>
              </w:rPr>
            </w:pPr>
            <w:r w:rsidRPr="00533991">
              <w:rPr>
                <w:rFonts w:ascii="Times New Roman" w:eastAsia="Calibri" w:hAnsi="Times New Roman" w:cs="Times New Roman"/>
                <w:sz w:val="24"/>
                <w:szCs w:val="24"/>
                <w:lang w:eastAsia="uk-UA"/>
              </w:rPr>
              <w:t>81,4</w:t>
            </w:r>
          </w:p>
        </w:tc>
        <w:tc>
          <w:tcPr>
            <w:tcW w:w="2835" w:type="dxa"/>
            <w:vAlign w:val="center"/>
          </w:tcPr>
          <w:p w:rsidR="00533991" w:rsidRPr="00533991" w:rsidRDefault="00533991" w:rsidP="00AF64EB">
            <w:pPr>
              <w:jc w:val="center"/>
              <w:rPr>
                <w:rFonts w:ascii="Times New Roman" w:eastAsia="Calibri" w:hAnsi="Times New Roman" w:cs="Times New Roman"/>
                <w:sz w:val="24"/>
                <w:szCs w:val="24"/>
                <w:lang w:eastAsia="uk-UA"/>
              </w:rPr>
            </w:pPr>
            <w:r w:rsidRPr="00533991">
              <w:rPr>
                <w:rFonts w:ascii="Times New Roman" w:eastAsia="Calibri" w:hAnsi="Times New Roman" w:cs="Times New Roman"/>
                <w:sz w:val="24"/>
                <w:szCs w:val="24"/>
                <w:lang w:eastAsia="uk-UA"/>
              </w:rPr>
              <w:t>24,8</w:t>
            </w:r>
          </w:p>
        </w:tc>
      </w:tr>
    </w:tbl>
    <w:p w:rsidR="00533991" w:rsidRPr="00533991" w:rsidRDefault="00533991" w:rsidP="00533991">
      <w:pPr>
        <w:ind w:firstLine="556"/>
        <w:jc w:val="both"/>
        <w:rPr>
          <w:rFonts w:ascii="Times New Roman" w:hAnsi="Times New Roman" w:cs="Times New Roman"/>
        </w:rPr>
      </w:pPr>
      <w:r w:rsidRPr="00533991">
        <w:rPr>
          <w:rFonts w:ascii="Times New Roman" w:hAnsi="Times New Roman" w:cs="Times New Roman"/>
          <w:sz w:val="24"/>
        </w:rPr>
        <w:lastRenderedPageBreak/>
        <w:t>У структурі малих підприємств за видами економічної діяльності, як і раніше, превалюють сфери діяльності невиробничого характеру, особливо ті, які мають відносно  швидкий оборот засобів. Кількість малих підприємств, які займаються оптовою та роздрібненою торгівлею, продовжує складати найбільшу питому вагу в загальній кількості підприємств (36,0%). У промисловості працює 13,6% від загальної кількості малих підприємств, у будівництві – 6,7%, 4,0% припадає на підприємства транспорту і зв’язку, 4,5% - на підприємства, що займаються операціями з нерухомістю, 8,3% підприємств надають послуги населенню, 0,5 % підприємства сільського господарства, 26,4 % інші підприємства економічної діяльності.</w:t>
      </w:r>
    </w:p>
    <w:p w:rsidR="00533991" w:rsidRDefault="00533991" w:rsidP="00533991">
      <w:pPr>
        <w:pStyle w:val="a7"/>
        <w:shd w:val="clear" w:color="auto" w:fill="auto"/>
        <w:spacing w:before="0" w:after="0" w:line="240" w:lineRule="auto"/>
        <w:ind w:firstLine="0"/>
        <w:jc w:val="both"/>
        <w:rPr>
          <w:rFonts w:ascii="Times New Roman" w:hAnsi="Times New Roman" w:cs="Times New Roman"/>
          <w:sz w:val="24"/>
          <w:szCs w:val="24"/>
        </w:rPr>
      </w:pPr>
      <w:r w:rsidRPr="00833DB3">
        <w:rPr>
          <w:rFonts w:ascii="Times New Roman" w:hAnsi="Times New Roman" w:cs="Times New Roman"/>
          <w:noProof/>
          <w:sz w:val="24"/>
          <w:szCs w:val="24"/>
          <w:lang w:val="ru-RU" w:eastAsia="ru-RU"/>
        </w:rPr>
        <w:drawing>
          <wp:inline distT="0" distB="0" distL="0" distR="0">
            <wp:extent cx="6202680" cy="2491740"/>
            <wp:effectExtent l="19050" t="0" r="26670" b="3810"/>
            <wp:docPr id="64"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C0173" w:rsidRDefault="007C0173" w:rsidP="00533991">
      <w:pPr>
        <w:pStyle w:val="a7"/>
        <w:shd w:val="clear" w:color="auto" w:fill="auto"/>
        <w:spacing w:before="0" w:after="0" w:line="240" w:lineRule="auto"/>
        <w:ind w:firstLine="0"/>
        <w:jc w:val="both"/>
        <w:rPr>
          <w:rFonts w:ascii="Times New Roman" w:hAnsi="Times New Roman" w:cs="Times New Roman"/>
          <w:sz w:val="24"/>
          <w:szCs w:val="24"/>
        </w:rPr>
      </w:pPr>
    </w:p>
    <w:p w:rsidR="007C0173" w:rsidRDefault="007C0173" w:rsidP="007C0173">
      <w:pPr>
        <w:ind w:firstLine="708"/>
        <w:jc w:val="center"/>
        <w:rPr>
          <w:rFonts w:ascii="Times New Roman" w:hAnsi="Times New Roman" w:cs="Times New Roman"/>
          <w:b/>
          <w:sz w:val="20"/>
          <w:szCs w:val="20"/>
        </w:rPr>
      </w:pPr>
      <w:r>
        <w:rPr>
          <w:rFonts w:ascii="Times New Roman" w:hAnsi="Times New Roman" w:cs="Times New Roman"/>
          <w:b/>
          <w:sz w:val="20"/>
          <w:szCs w:val="20"/>
        </w:rPr>
        <w:t>Малюнок 17</w:t>
      </w:r>
      <w:r w:rsidR="004F51C1">
        <w:rPr>
          <w:rFonts w:ascii="Times New Roman" w:hAnsi="Times New Roman" w:cs="Times New Roman"/>
          <w:b/>
          <w:sz w:val="20"/>
          <w:szCs w:val="20"/>
        </w:rPr>
        <w:t>.</w:t>
      </w:r>
      <w:r>
        <w:rPr>
          <w:rFonts w:ascii="Times New Roman" w:hAnsi="Times New Roman" w:cs="Times New Roman"/>
          <w:b/>
          <w:sz w:val="20"/>
          <w:szCs w:val="20"/>
        </w:rPr>
        <w:t xml:space="preserve"> Структура малих підприємств за видами економічної діяльності</w:t>
      </w:r>
    </w:p>
    <w:p w:rsidR="004F51C1" w:rsidRDefault="004F51C1" w:rsidP="0066438C">
      <w:pPr>
        <w:pStyle w:val="32"/>
        <w:keepNext/>
        <w:keepLines/>
        <w:shd w:val="clear" w:color="auto" w:fill="auto"/>
        <w:spacing w:before="0" w:after="104" w:line="270" w:lineRule="exact"/>
        <w:ind w:left="4068"/>
        <w:rPr>
          <w:sz w:val="28"/>
          <w:szCs w:val="28"/>
        </w:rPr>
      </w:pPr>
      <w:bookmarkStart w:id="23" w:name="bookmark37"/>
    </w:p>
    <w:p w:rsidR="004F51C1" w:rsidRDefault="004F51C1" w:rsidP="0066438C">
      <w:pPr>
        <w:pStyle w:val="32"/>
        <w:keepNext/>
        <w:keepLines/>
        <w:shd w:val="clear" w:color="auto" w:fill="auto"/>
        <w:spacing w:before="0" w:after="104" w:line="270" w:lineRule="exact"/>
        <w:ind w:left="4068"/>
        <w:rPr>
          <w:sz w:val="28"/>
          <w:szCs w:val="28"/>
        </w:rPr>
      </w:pPr>
    </w:p>
    <w:p w:rsidR="00DF0218" w:rsidRDefault="00DF0218" w:rsidP="0066438C">
      <w:pPr>
        <w:pStyle w:val="32"/>
        <w:keepNext/>
        <w:keepLines/>
        <w:shd w:val="clear" w:color="auto" w:fill="auto"/>
        <w:spacing w:before="0" w:after="104" w:line="270" w:lineRule="exact"/>
        <w:ind w:left="4068"/>
        <w:rPr>
          <w:sz w:val="28"/>
          <w:szCs w:val="28"/>
        </w:rPr>
      </w:pPr>
      <w:r w:rsidRPr="004F51C1">
        <w:rPr>
          <w:sz w:val="28"/>
          <w:szCs w:val="28"/>
        </w:rPr>
        <w:t>1.6</w:t>
      </w:r>
      <w:r w:rsidR="004F51C1">
        <w:rPr>
          <w:sz w:val="28"/>
          <w:szCs w:val="28"/>
        </w:rPr>
        <w:t xml:space="preserve">. </w:t>
      </w:r>
      <w:r w:rsidRPr="004F51C1">
        <w:rPr>
          <w:sz w:val="28"/>
          <w:szCs w:val="28"/>
        </w:rPr>
        <w:t>Соціальна сфера</w:t>
      </w:r>
      <w:bookmarkEnd w:id="23"/>
    </w:p>
    <w:p w:rsidR="00DF0218" w:rsidRPr="004F51C1" w:rsidRDefault="00DF0218" w:rsidP="0066438C">
      <w:pPr>
        <w:pStyle w:val="40"/>
        <w:keepNext/>
        <w:keepLines/>
        <w:shd w:val="clear" w:color="auto" w:fill="auto"/>
        <w:spacing w:before="0" w:after="70" w:line="220" w:lineRule="exact"/>
        <w:ind w:left="4268"/>
        <w:rPr>
          <w:sz w:val="24"/>
          <w:szCs w:val="24"/>
        </w:rPr>
      </w:pPr>
      <w:bookmarkStart w:id="24" w:name="bookmark38"/>
      <w:bookmarkStart w:id="25" w:name="bookmark39"/>
      <w:bookmarkStart w:id="26" w:name="bookmark40"/>
      <w:r w:rsidRPr="004F51C1">
        <w:rPr>
          <w:sz w:val="24"/>
          <w:szCs w:val="24"/>
        </w:rPr>
        <w:t>1.6.1</w:t>
      </w:r>
      <w:r w:rsidR="000B2660">
        <w:rPr>
          <w:sz w:val="24"/>
          <w:szCs w:val="24"/>
        </w:rPr>
        <w:t>.</w:t>
      </w:r>
      <w:r w:rsidRPr="004F51C1">
        <w:rPr>
          <w:sz w:val="24"/>
          <w:szCs w:val="24"/>
        </w:rPr>
        <w:t xml:space="preserve"> Освіта</w:t>
      </w:r>
      <w:bookmarkEnd w:id="24"/>
      <w:bookmarkEnd w:id="25"/>
      <w:bookmarkEnd w:id="26"/>
    </w:p>
    <w:p w:rsidR="0082195E" w:rsidRDefault="00DF0218" w:rsidP="004F51C1">
      <w:pPr>
        <w:pStyle w:val="a7"/>
        <w:shd w:val="clear" w:color="auto" w:fill="auto"/>
        <w:spacing w:before="0" w:after="0" w:line="276" w:lineRule="auto"/>
        <w:ind w:left="20" w:right="20" w:firstLine="688"/>
        <w:jc w:val="both"/>
        <w:rPr>
          <w:rFonts w:ascii="Times New Roman" w:hAnsi="Times New Roman" w:cs="Times New Roman"/>
          <w:sz w:val="24"/>
          <w:szCs w:val="24"/>
        </w:rPr>
      </w:pPr>
      <w:r w:rsidRPr="0082195E">
        <w:rPr>
          <w:rFonts w:ascii="Times New Roman" w:hAnsi="Times New Roman" w:cs="Times New Roman"/>
          <w:sz w:val="24"/>
          <w:szCs w:val="24"/>
        </w:rPr>
        <w:t xml:space="preserve">Освітня сфера є однією з ключових для громади з точки зору важливості її соціальної функції, чисельності робочих місць, які тут створено і впливу на формування молодих мешканців громади. Витрати на утримання і розвиток закладів освіти є найбільшою видатковою статтею бюджету. </w:t>
      </w:r>
    </w:p>
    <w:p w:rsidR="005666AF" w:rsidRPr="002677A2" w:rsidRDefault="005666AF" w:rsidP="005666AF">
      <w:pPr>
        <w:pStyle w:val="a7"/>
        <w:shd w:val="clear" w:color="auto" w:fill="auto"/>
        <w:spacing w:before="0" w:after="0" w:line="240" w:lineRule="auto"/>
        <w:ind w:firstLine="588"/>
        <w:jc w:val="both"/>
        <w:rPr>
          <w:rFonts w:ascii="Times New Roman" w:hAnsi="Times New Roman" w:cs="Times New Roman"/>
          <w:sz w:val="24"/>
          <w:szCs w:val="24"/>
        </w:rPr>
      </w:pPr>
    </w:p>
    <w:p w:rsidR="005666AF" w:rsidRDefault="005666AF" w:rsidP="005666AF">
      <w:pPr>
        <w:pStyle w:val="a7"/>
        <w:shd w:val="clear" w:color="auto" w:fill="auto"/>
        <w:spacing w:before="0" w:after="0" w:line="240" w:lineRule="auto"/>
        <w:ind w:firstLine="0"/>
        <w:jc w:val="both"/>
        <w:rPr>
          <w:rFonts w:ascii="Times New Roman" w:hAnsi="Times New Roman" w:cs="Times New Roman"/>
          <w:sz w:val="24"/>
          <w:szCs w:val="24"/>
          <w:lang w:val="ru-RU"/>
        </w:rPr>
      </w:pPr>
      <w:r w:rsidRPr="00833DB3">
        <w:rPr>
          <w:rFonts w:ascii="Times New Roman" w:hAnsi="Times New Roman" w:cs="Times New Roman"/>
          <w:noProof/>
          <w:sz w:val="24"/>
          <w:szCs w:val="24"/>
          <w:lang w:val="ru-RU" w:eastAsia="ru-RU"/>
        </w:rPr>
        <w:drawing>
          <wp:inline distT="0" distB="0" distL="0" distR="0">
            <wp:extent cx="5055870" cy="2606040"/>
            <wp:effectExtent l="19050" t="0" r="11430" b="3810"/>
            <wp:docPr id="2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927A0" w:rsidRDefault="00A927A0" w:rsidP="005666AF">
      <w:pPr>
        <w:pStyle w:val="a7"/>
        <w:shd w:val="clear" w:color="auto" w:fill="auto"/>
        <w:spacing w:before="0" w:after="0" w:line="240" w:lineRule="auto"/>
        <w:ind w:firstLine="0"/>
        <w:jc w:val="both"/>
        <w:rPr>
          <w:rFonts w:ascii="Times New Roman" w:hAnsi="Times New Roman" w:cs="Times New Roman"/>
          <w:sz w:val="24"/>
          <w:szCs w:val="24"/>
          <w:lang w:val="ru-RU"/>
        </w:rPr>
      </w:pPr>
    </w:p>
    <w:p w:rsidR="005666AF" w:rsidRDefault="005666AF" w:rsidP="005666AF">
      <w:pPr>
        <w:pStyle w:val="a7"/>
        <w:shd w:val="clear" w:color="auto" w:fill="auto"/>
        <w:spacing w:before="0" w:after="0" w:line="240" w:lineRule="auto"/>
        <w:ind w:firstLine="0"/>
        <w:jc w:val="both"/>
        <w:rPr>
          <w:rFonts w:ascii="Times New Roman" w:hAnsi="Times New Roman" w:cs="Times New Roman"/>
          <w:sz w:val="24"/>
          <w:szCs w:val="24"/>
          <w:lang w:val="ru-RU"/>
        </w:rPr>
      </w:pPr>
    </w:p>
    <w:p w:rsidR="005666AF" w:rsidRDefault="005666AF" w:rsidP="005666AF">
      <w:pPr>
        <w:ind w:firstLine="708"/>
        <w:jc w:val="center"/>
        <w:rPr>
          <w:rFonts w:ascii="Times New Roman" w:hAnsi="Times New Roman" w:cs="Times New Roman"/>
          <w:b/>
          <w:sz w:val="20"/>
          <w:szCs w:val="20"/>
        </w:rPr>
      </w:pPr>
      <w:r>
        <w:rPr>
          <w:rFonts w:ascii="Times New Roman" w:hAnsi="Times New Roman" w:cs="Times New Roman"/>
          <w:b/>
          <w:sz w:val="20"/>
          <w:szCs w:val="20"/>
        </w:rPr>
        <w:t>Малюнок 18</w:t>
      </w:r>
      <w:r w:rsidR="004F51C1">
        <w:rPr>
          <w:rFonts w:ascii="Times New Roman" w:hAnsi="Times New Roman" w:cs="Times New Roman"/>
          <w:b/>
          <w:sz w:val="20"/>
          <w:szCs w:val="20"/>
        </w:rPr>
        <w:t xml:space="preserve">. </w:t>
      </w:r>
      <w:r>
        <w:rPr>
          <w:rFonts w:ascii="Times New Roman" w:hAnsi="Times New Roman" w:cs="Times New Roman"/>
          <w:b/>
          <w:sz w:val="20"/>
          <w:szCs w:val="20"/>
        </w:rPr>
        <w:t xml:space="preserve"> Школи громади, з наповненістю нижче 80%</w:t>
      </w:r>
    </w:p>
    <w:p w:rsidR="005666AF" w:rsidRDefault="005666AF" w:rsidP="0082195E">
      <w:pPr>
        <w:pStyle w:val="a7"/>
        <w:shd w:val="clear" w:color="auto" w:fill="auto"/>
        <w:spacing w:before="0" w:after="0" w:line="250" w:lineRule="exact"/>
        <w:ind w:left="20" w:right="20" w:firstLine="688"/>
        <w:jc w:val="both"/>
        <w:rPr>
          <w:rFonts w:ascii="Times New Roman" w:hAnsi="Times New Roman" w:cs="Times New Roman"/>
          <w:sz w:val="24"/>
          <w:szCs w:val="24"/>
          <w:lang w:val="ru-RU"/>
        </w:rPr>
      </w:pPr>
    </w:p>
    <w:p w:rsidR="00DF0218" w:rsidRPr="0082195E" w:rsidRDefault="0082195E" w:rsidP="004F51C1">
      <w:pPr>
        <w:pStyle w:val="a7"/>
        <w:shd w:val="clear" w:color="auto" w:fill="auto"/>
        <w:spacing w:before="0" w:after="0" w:line="276" w:lineRule="auto"/>
        <w:ind w:left="20" w:right="20" w:firstLine="688"/>
        <w:jc w:val="both"/>
        <w:rPr>
          <w:rFonts w:ascii="Times New Roman" w:hAnsi="Times New Roman" w:cs="Times New Roman"/>
          <w:sz w:val="24"/>
          <w:szCs w:val="24"/>
        </w:rPr>
      </w:pPr>
      <w:r>
        <w:rPr>
          <w:rFonts w:ascii="Times New Roman" w:hAnsi="Times New Roman" w:cs="Times New Roman"/>
          <w:sz w:val="24"/>
          <w:szCs w:val="24"/>
        </w:rPr>
        <w:t>На території Костянтинівської громади функціонує 17</w:t>
      </w:r>
      <w:r w:rsidR="00DF0218" w:rsidRPr="0082195E">
        <w:rPr>
          <w:rFonts w:ascii="Times New Roman" w:hAnsi="Times New Roman" w:cs="Times New Roman"/>
          <w:sz w:val="24"/>
          <w:szCs w:val="24"/>
        </w:rPr>
        <w:t xml:space="preserve"> ЗОШ. Безпос</w:t>
      </w:r>
      <w:r>
        <w:rPr>
          <w:rFonts w:ascii="Times New Roman" w:hAnsi="Times New Roman" w:cs="Times New Roman"/>
          <w:sz w:val="24"/>
          <w:szCs w:val="24"/>
        </w:rPr>
        <w:t xml:space="preserve">ередньо на території міста діє </w:t>
      </w:r>
      <w:r w:rsidRPr="0082195E">
        <w:rPr>
          <w:rFonts w:ascii="Times New Roman" w:hAnsi="Times New Roman" w:cs="Times New Roman"/>
          <w:sz w:val="24"/>
          <w:szCs w:val="24"/>
        </w:rPr>
        <w:t xml:space="preserve">13 денних закладів загальної середньої </w:t>
      </w:r>
      <w:r>
        <w:rPr>
          <w:rFonts w:ascii="Times New Roman" w:hAnsi="Times New Roman" w:cs="Times New Roman"/>
          <w:sz w:val="24"/>
          <w:szCs w:val="24"/>
        </w:rPr>
        <w:t>освіти, із них</w:t>
      </w:r>
      <w:r w:rsidRPr="0082195E">
        <w:rPr>
          <w:rFonts w:ascii="Times New Roman" w:hAnsi="Times New Roman" w:cs="Times New Roman"/>
          <w:sz w:val="24"/>
          <w:szCs w:val="24"/>
        </w:rPr>
        <w:t xml:space="preserve"> 12 закладів І – ІІІ ступенів, </w:t>
      </w:r>
      <w:r>
        <w:rPr>
          <w:rFonts w:ascii="Times New Roman" w:hAnsi="Times New Roman" w:cs="Times New Roman"/>
          <w:sz w:val="24"/>
          <w:szCs w:val="24"/>
        </w:rPr>
        <w:t xml:space="preserve">          </w:t>
      </w:r>
      <w:r w:rsidRPr="0082195E">
        <w:rPr>
          <w:rFonts w:ascii="Times New Roman" w:hAnsi="Times New Roman" w:cs="Times New Roman"/>
          <w:sz w:val="24"/>
          <w:szCs w:val="24"/>
        </w:rPr>
        <w:t>1 заклад І – ІІ ступенів №8 з інтернатом при школі</w:t>
      </w:r>
      <w:r w:rsidR="00DF0218" w:rsidRPr="0082195E">
        <w:rPr>
          <w:rFonts w:ascii="Times New Roman" w:hAnsi="Times New Roman" w:cs="Times New Roman"/>
          <w:sz w:val="24"/>
          <w:szCs w:val="24"/>
        </w:rPr>
        <w:t xml:space="preserve">. В </w:t>
      </w:r>
      <w:r w:rsidR="002677A2">
        <w:rPr>
          <w:rFonts w:ascii="Times New Roman" w:hAnsi="Times New Roman" w:cs="Times New Roman"/>
          <w:sz w:val="24"/>
          <w:szCs w:val="24"/>
        </w:rPr>
        <w:t>старостинських</w:t>
      </w:r>
      <w:r>
        <w:rPr>
          <w:rFonts w:ascii="Times New Roman" w:hAnsi="Times New Roman" w:cs="Times New Roman"/>
          <w:sz w:val="24"/>
          <w:szCs w:val="24"/>
        </w:rPr>
        <w:t xml:space="preserve"> округах</w:t>
      </w:r>
      <w:r w:rsidR="00DF0218" w:rsidRPr="0082195E">
        <w:rPr>
          <w:rFonts w:ascii="Times New Roman" w:hAnsi="Times New Roman" w:cs="Times New Roman"/>
          <w:sz w:val="24"/>
          <w:szCs w:val="24"/>
        </w:rPr>
        <w:t xml:space="preserve"> тер</w:t>
      </w:r>
      <w:r>
        <w:rPr>
          <w:rFonts w:ascii="Times New Roman" w:hAnsi="Times New Roman" w:cs="Times New Roman"/>
          <w:sz w:val="24"/>
          <w:szCs w:val="24"/>
        </w:rPr>
        <w:t xml:space="preserve">иторіальної громади функціонує: 4 ліцеї – </w:t>
      </w:r>
      <w:proofErr w:type="spellStart"/>
      <w:r>
        <w:rPr>
          <w:rFonts w:ascii="Times New Roman" w:hAnsi="Times New Roman" w:cs="Times New Roman"/>
          <w:sz w:val="24"/>
          <w:szCs w:val="24"/>
        </w:rPr>
        <w:t>Новодмитрівський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Марківський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Білокузьминівський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Іванопільський</w:t>
      </w:r>
      <w:proofErr w:type="spellEnd"/>
      <w:r w:rsidR="00DF0218" w:rsidRPr="0082195E">
        <w:rPr>
          <w:rFonts w:ascii="Times New Roman" w:hAnsi="Times New Roman" w:cs="Times New Roman"/>
          <w:sz w:val="24"/>
          <w:szCs w:val="24"/>
        </w:rPr>
        <w:t>.</w:t>
      </w:r>
    </w:p>
    <w:p w:rsidR="00B731BB" w:rsidRDefault="00B731BB" w:rsidP="00B731BB">
      <w:pPr>
        <w:pStyle w:val="a7"/>
        <w:shd w:val="clear" w:color="auto" w:fill="auto"/>
        <w:spacing w:before="0" w:after="0" w:line="240" w:lineRule="auto"/>
        <w:ind w:firstLine="0"/>
        <w:jc w:val="both"/>
        <w:rPr>
          <w:rFonts w:ascii="Times New Roman" w:hAnsi="Times New Roman" w:cs="Times New Roman"/>
          <w:sz w:val="24"/>
          <w:szCs w:val="24"/>
          <w:lang w:val="ru-RU"/>
        </w:rPr>
      </w:pPr>
      <w:r w:rsidRPr="00833DB3">
        <w:rPr>
          <w:rFonts w:ascii="Times New Roman" w:hAnsi="Times New Roman" w:cs="Times New Roman"/>
          <w:noProof/>
          <w:sz w:val="24"/>
          <w:szCs w:val="24"/>
          <w:lang w:val="ru-RU" w:eastAsia="ru-RU"/>
        </w:rPr>
        <w:drawing>
          <wp:inline distT="0" distB="0" distL="0" distR="0">
            <wp:extent cx="5813425" cy="3040380"/>
            <wp:effectExtent l="19050" t="0" r="15875" b="7620"/>
            <wp:docPr id="8"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C0173" w:rsidRDefault="007C0173" w:rsidP="00B731BB">
      <w:pPr>
        <w:pStyle w:val="a7"/>
        <w:shd w:val="clear" w:color="auto" w:fill="auto"/>
        <w:spacing w:before="0" w:after="0" w:line="240" w:lineRule="auto"/>
        <w:ind w:firstLine="0"/>
        <w:jc w:val="both"/>
        <w:rPr>
          <w:rFonts w:ascii="Times New Roman" w:hAnsi="Times New Roman" w:cs="Times New Roman"/>
          <w:sz w:val="24"/>
          <w:szCs w:val="24"/>
          <w:lang w:val="ru-RU"/>
        </w:rPr>
      </w:pPr>
    </w:p>
    <w:p w:rsidR="007C0173" w:rsidRDefault="007C0173" w:rsidP="007C0173">
      <w:pPr>
        <w:ind w:firstLine="708"/>
        <w:jc w:val="center"/>
        <w:rPr>
          <w:rFonts w:ascii="Times New Roman" w:hAnsi="Times New Roman" w:cs="Times New Roman"/>
          <w:b/>
          <w:sz w:val="20"/>
          <w:szCs w:val="20"/>
        </w:rPr>
      </w:pPr>
      <w:r>
        <w:rPr>
          <w:rFonts w:ascii="Times New Roman" w:hAnsi="Times New Roman" w:cs="Times New Roman"/>
          <w:b/>
          <w:sz w:val="20"/>
          <w:szCs w:val="20"/>
        </w:rPr>
        <w:t>Малюнок 18 Школи громади, з наповненістю нижче 80%</w:t>
      </w:r>
    </w:p>
    <w:p w:rsidR="004F51C1" w:rsidRPr="00686A41" w:rsidRDefault="004F51C1" w:rsidP="00686A41">
      <w:pPr>
        <w:numPr>
          <w:ilvl w:val="1"/>
          <w:numId w:val="4"/>
        </w:numPr>
        <w:suppressAutoHyphens/>
        <w:spacing w:after="0"/>
        <w:ind w:left="0" w:firstLine="851"/>
        <w:jc w:val="both"/>
        <w:rPr>
          <w:rFonts w:ascii="Times New Roman" w:hAnsi="Times New Roman" w:cs="Times New Roman"/>
          <w:sz w:val="24"/>
          <w:szCs w:val="24"/>
        </w:rPr>
      </w:pPr>
    </w:p>
    <w:p w:rsidR="007C0173" w:rsidRPr="007C0173" w:rsidRDefault="007C0173" w:rsidP="004F51C1">
      <w:pPr>
        <w:numPr>
          <w:ilvl w:val="1"/>
          <w:numId w:val="4"/>
        </w:numPr>
        <w:suppressAutoHyphens/>
        <w:spacing w:after="0"/>
        <w:ind w:left="0" w:firstLine="851"/>
        <w:jc w:val="both"/>
        <w:rPr>
          <w:rFonts w:ascii="Times New Roman" w:hAnsi="Times New Roman" w:cs="Times New Roman"/>
          <w:sz w:val="24"/>
          <w:szCs w:val="24"/>
        </w:rPr>
      </w:pPr>
      <w:r w:rsidRPr="007C0173">
        <w:rPr>
          <w:rFonts w:ascii="Times New Roman" w:hAnsi="Times New Roman" w:cs="Times New Roman"/>
          <w:sz w:val="24"/>
          <w:szCs w:val="24"/>
        </w:rPr>
        <w:t xml:space="preserve">Систему позашкільної освіти представляють 3 заклади (дитячо-юнацька спортивна школа, центр дитячої та юнацької творчості, станція юних техніків). У гуртках і секціях позашкільних навчальних закладів системи освіти свої навички та вміння розвивають майже  2223 школярів міста ( 37,5% % від загальної кількості дітей шкільного віку). На базі </w:t>
      </w:r>
      <w:r>
        <w:rPr>
          <w:rFonts w:ascii="Times New Roman" w:hAnsi="Times New Roman" w:cs="Times New Roman"/>
          <w:sz w:val="24"/>
          <w:szCs w:val="24"/>
        </w:rPr>
        <w:t xml:space="preserve">громади </w:t>
      </w:r>
      <w:r w:rsidRPr="007C0173">
        <w:rPr>
          <w:rFonts w:ascii="Times New Roman" w:hAnsi="Times New Roman" w:cs="Times New Roman"/>
          <w:sz w:val="24"/>
          <w:szCs w:val="24"/>
        </w:rPr>
        <w:t>працює міжшкільний навчально-виробничий комбінат.</w:t>
      </w:r>
    </w:p>
    <w:p w:rsidR="007C0173" w:rsidRPr="007C0173" w:rsidRDefault="007C0173" w:rsidP="007C0173">
      <w:pPr>
        <w:pStyle w:val="151"/>
        <w:numPr>
          <w:ilvl w:val="0"/>
          <w:numId w:val="4"/>
        </w:numPr>
        <w:shd w:val="clear" w:color="auto" w:fill="auto"/>
        <w:spacing w:before="0" w:after="84" w:line="200" w:lineRule="exact"/>
        <w:rPr>
          <w:rStyle w:val="153"/>
          <w:shd w:val="clear" w:color="auto" w:fill="auto"/>
        </w:rPr>
      </w:pPr>
    </w:p>
    <w:p w:rsidR="004F51C1" w:rsidRPr="004F51C1" w:rsidRDefault="004F51C1" w:rsidP="007C0173">
      <w:pPr>
        <w:pStyle w:val="151"/>
        <w:numPr>
          <w:ilvl w:val="0"/>
          <w:numId w:val="4"/>
        </w:numPr>
        <w:shd w:val="clear" w:color="auto" w:fill="auto"/>
        <w:spacing w:before="0" w:after="84" w:line="200" w:lineRule="exact"/>
        <w:jc w:val="center"/>
        <w:rPr>
          <w:rStyle w:val="153"/>
          <w:b/>
          <w:bCs/>
          <w:sz w:val="22"/>
          <w:szCs w:val="22"/>
          <w:shd w:val="clear" w:color="auto" w:fill="auto"/>
        </w:rPr>
      </w:pPr>
    </w:p>
    <w:p w:rsidR="002677A2" w:rsidRPr="002677A2" w:rsidRDefault="007C0173" w:rsidP="004F51C1">
      <w:pPr>
        <w:numPr>
          <w:ilvl w:val="1"/>
          <w:numId w:val="4"/>
        </w:numPr>
        <w:suppressAutoHyphens/>
        <w:spacing w:after="0"/>
        <w:ind w:left="0" w:firstLine="851"/>
        <w:jc w:val="both"/>
        <w:rPr>
          <w:rFonts w:ascii="Times New Roman" w:hAnsi="Times New Roman" w:cs="Times New Roman"/>
          <w:sz w:val="24"/>
          <w:szCs w:val="24"/>
        </w:rPr>
      </w:pPr>
      <w:r>
        <w:rPr>
          <w:rFonts w:ascii="Times New Roman" w:hAnsi="Times New Roman" w:cs="Times New Roman"/>
          <w:sz w:val="24"/>
          <w:szCs w:val="24"/>
        </w:rPr>
        <w:t>На балансі Костянтин</w:t>
      </w:r>
      <w:r w:rsidR="0024696B" w:rsidRPr="0082195E">
        <w:rPr>
          <w:rFonts w:ascii="Times New Roman" w:hAnsi="Times New Roman" w:cs="Times New Roman"/>
          <w:sz w:val="24"/>
          <w:szCs w:val="24"/>
        </w:rPr>
        <w:t>івської міської тери</w:t>
      </w:r>
      <w:r w:rsidR="00157711">
        <w:rPr>
          <w:rFonts w:ascii="Times New Roman" w:hAnsi="Times New Roman" w:cs="Times New Roman"/>
          <w:sz w:val="24"/>
          <w:szCs w:val="24"/>
        </w:rPr>
        <w:t>торіальної громади знаходиться 25</w:t>
      </w:r>
      <w:r w:rsidR="0024696B" w:rsidRPr="0082195E">
        <w:rPr>
          <w:rFonts w:ascii="Times New Roman" w:hAnsi="Times New Roman" w:cs="Times New Roman"/>
          <w:sz w:val="24"/>
          <w:szCs w:val="24"/>
        </w:rPr>
        <w:t xml:space="preserve"> ДНЗ, </w:t>
      </w:r>
      <w:r w:rsidR="002677A2">
        <w:rPr>
          <w:rFonts w:ascii="Times New Roman" w:hAnsi="Times New Roman" w:cs="Times New Roman"/>
          <w:sz w:val="24"/>
          <w:szCs w:val="24"/>
        </w:rPr>
        <w:t xml:space="preserve">                16 ДНЗ працює в м. Костянтинівка</w:t>
      </w:r>
      <w:r w:rsidR="0024696B" w:rsidRPr="0082195E">
        <w:rPr>
          <w:rFonts w:ascii="Times New Roman" w:hAnsi="Times New Roman" w:cs="Times New Roman"/>
          <w:sz w:val="24"/>
          <w:szCs w:val="24"/>
        </w:rPr>
        <w:t xml:space="preserve">, </w:t>
      </w:r>
      <w:r w:rsidR="002677A2">
        <w:rPr>
          <w:rFonts w:ascii="Times New Roman" w:hAnsi="Times New Roman" w:cs="Times New Roman"/>
          <w:sz w:val="24"/>
          <w:szCs w:val="24"/>
        </w:rPr>
        <w:t>в</w:t>
      </w:r>
      <w:r w:rsidR="002677A2" w:rsidRPr="0082195E">
        <w:rPr>
          <w:rFonts w:ascii="Times New Roman" w:hAnsi="Times New Roman" w:cs="Times New Roman"/>
          <w:sz w:val="24"/>
          <w:szCs w:val="24"/>
        </w:rPr>
        <w:t xml:space="preserve"> </w:t>
      </w:r>
      <w:r w:rsidR="002677A2">
        <w:rPr>
          <w:rFonts w:ascii="Times New Roman" w:hAnsi="Times New Roman" w:cs="Times New Roman"/>
          <w:sz w:val="24"/>
          <w:szCs w:val="24"/>
        </w:rPr>
        <w:t>старостинських округах</w:t>
      </w:r>
      <w:r w:rsidR="002677A2" w:rsidRPr="0082195E">
        <w:rPr>
          <w:rFonts w:ascii="Times New Roman" w:hAnsi="Times New Roman" w:cs="Times New Roman"/>
          <w:sz w:val="24"/>
          <w:szCs w:val="24"/>
        </w:rPr>
        <w:t xml:space="preserve"> тер</w:t>
      </w:r>
      <w:r w:rsidR="002677A2">
        <w:rPr>
          <w:rFonts w:ascii="Times New Roman" w:hAnsi="Times New Roman" w:cs="Times New Roman"/>
          <w:sz w:val="24"/>
          <w:szCs w:val="24"/>
        </w:rPr>
        <w:t>иторіальної громади функціонує</w:t>
      </w:r>
      <w:r w:rsidR="002677A2" w:rsidRPr="0082195E">
        <w:rPr>
          <w:rFonts w:ascii="Times New Roman" w:hAnsi="Times New Roman" w:cs="Times New Roman"/>
          <w:sz w:val="24"/>
          <w:szCs w:val="24"/>
        </w:rPr>
        <w:t xml:space="preserve"> </w:t>
      </w:r>
      <w:r w:rsidR="002677A2">
        <w:rPr>
          <w:rFonts w:ascii="Times New Roman" w:hAnsi="Times New Roman" w:cs="Times New Roman"/>
          <w:sz w:val="24"/>
          <w:szCs w:val="24"/>
        </w:rPr>
        <w:t>9 Д</w:t>
      </w:r>
      <w:r w:rsidR="0024696B" w:rsidRPr="0082195E">
        <w:rPr>
          <w:rFonts w:ascii="Times New Roman" w:hAnsi="Times New Roman" w:cs="Times New Roman"/>
          <w:sz w:val="24"/>
          <w:szCs w:val="24"/>
        </w:rPr>
        <w:t>ВК.</w:t>
      </w:r>
      <w:r w:rsidR="002677A2">
        <w:rPr>
          <w:rFonts w:ascii="Times New Roman" w:hAnsi="Times New Roman" w:cs="Times New Roman"/>
          <w:sz w:val="24"/>
          <w:szCs w:val="24"/>
        </w:rPr>
        <w:t xml:space="preserve"> Усі діти</w:t>
      </w:r>
      <w:r w:rsidR="002677A2" w:rsidRPr="002677A2">
        <w:rPr>
          <w:rFonts w:ascii="Times New Roman" w:hAnsi="Times New Roman" w:cs="Times New Roman"/>
          <w:sz w:val="24"/>
          <w:szCs w:val="24"/>
        </w:rPr>
        <w:t xml:space="preserve"> охоплені різними формами здобуття дошкільної освіти.</w:t>
      </w:r>
    </w:p>
    <w:p w:rsidR="0024696B" w:rsidRPr="009B2948" w:rsidRDefault="002677A2" w:rsidP="004F51C1">
      <w:pPr>
        <w:numPr>
          <w:ilvl w:val="1"/>
          <w:numId w:val="4"/>
        </w:numPr>
        <w:suppressAutoHyphens/>
        <w:spacing w:after="0"/>
        <w:ind w:left="0" w:firstLine="851"/>
        <w:jc w:val="both"/>
        <w:rPr>
          <w:rFonts w:ascii="Times New Roman" w:hAnsi="Times New Roman" w:cs="Times New Roman"/>
          <w:sz w:val="24"/>
          <w:szCs w:val="24"/>
        </w:rPr>
      </w:pPr>
      <w:r w:rsidRPr="002677A2">
        <w:rPr>
          <w:rFonts w:ascii="Times New Roman" w:hAnsi="Times New Roman" w:cs="Times New Roman"/>
          <w:sz w:val="24"/>
          <w:szCs w:val="24"/>
        </w:rPr>
        <w:t>Черга до дошкільних навчальних закладів відсутня.</w:t>
      </w:r>
    </w:p>
    <w:p w:rsidR="002677A2" w:rsidRPr="0082195E" w:rsidRDefault="002677A2" w:rsidP="004F51C1">
      <w:pPr>
        <w:pStyle w:val="a7"/>
        <w:shd w:val="clear" w:color="auto" w:fill="auto"/>
        <w:spacing w:before="0" w:line="276" w:lineRule="auto"/>
        <w:ind w:left="20" w:right="20" w:firstLine="688"/>
        <w:jc w:val="both"/>
        <w:rPr>
          <w:rFonts w:ascii="Times New Roman" w:hAnsi="Times New Roman" w:cs="Times New Roman"/>
          <w:sz w:val="24"/>
          <w:szCs w:val="24"/>
        </w:rPr>
      </w:pPr>
      <w:r w:rsidRPr="002677A2">
        <w:rPr>
          <w:rFonts w:ascii="Times New Roman" w:hAnsi="Times New Roman" w:cs="Times New Roman"/>
          <w:sz w:val="24"/>
          <w:szCs w:val="24"/>
        </w:rPr>
        <w:t>Прогнозні розрахунки щодо чисельності дітей, які мають піти до школи до 2026 р. включно свідчать, що буде спостерігатися стала тенденція до скорочення кількості учнів</w:t>
      </w:r>
      <w:r>
        <w:rPr>
          <w:rFonts w:ascii="Times New Roman" w:hAnsi="Times New Roman" w:cs="Times New Roman"/>
          <w:sz w:val="24"/>
          <w:szCs w:val="24"/>
        </w:rPr>
        <w:t>.</w:t>
      </w:r>
    </w:p>
    <w:p w:rsidR="00533991" w:rsidRDefault="009B2948" w:rsidP="00533991">
      <w:pPr>
        <w:pStyle w:val="a7"/>
        <w:shd w:val="clear" w:color="auto" w:fill="auto"/>
        <w:spacing w:before="0" w:after="0" w:line="240" w:lineRule="auto"/>
        <w:ind w:firstLine="0"/>
        <w:jc w:val="both"/>
        <w:rPr>
          <w:rFonts w:ascii="Times New Roman" w:hAnsi="Times New Roman" w:cs="Times New Roman"/>
          <w:sz w:val="24"/>
          <w:szCs w:val="24"/>
        </w:rPr>
      </w:pPr>
      <w:r w:rsidRPr="009B2948">
        <w:rPr>
          <w:rFonts w:ascii="Times New Roman" w:hAnsi="Times New Roman" w:cs="Times New Roman"/>
          <w:noProof/>
          <w:sz w:val="24"/>
          <w:szCs w:val="24"/>
          <w:lang w:val="ru-RU" w:eastAsia="ru-RU"/>
        </w:rPr>
        <w:lastRenderedPageBreak/>
        <w:drawing>
          <wp:inline distT="0" distB="0" distL="0" distR="0">
            <wp:extent cx="5813425" cy="3040380"/>
            <wp:effectExtent l="19050" t="0" r="15875" b="7620"/>
            <wp:docPr id="1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F51C1" w:rsidRDefault="004F51C1" w:rsidP="009B2948">
      <w:pPr>
        <w:ind w:firstLine="708"/>
        <w:jc w:val="center"/>
        <w:rPr>
          <w:rFonts w:ascii="Times New Roman" w:hAnsi="Times New Roman" w:cs="Times New Roman"/>
          <w:b/>
          <w:sz w:val="20"/>
          <w:szCs w:val="20"/>
        </w:rPr>
      </w:pPr>
    </w:p>
    <w:p w:rsidR="009B2948" w:rsidRDefault="009B2948" w:rsidP="009B2948">
      <w:pPr>
        <w:ind w:firstLine="708"/>
        <w:jc w:val="center"/>
        <w:rPr>
          <w:rFonts w:ascii="Times New Roman" w:hAnsi="Times New Roman" w:cs="Times New Roman"/>
          <w:b/>
          <w:sz w:val="20"/>
          <w:szCs w:val="20"/>
        </w:rPr>
      </w:pPr>
      <w:r>
        <w:rPr>
          <w:rFonts w:ascii="Times New Roman" w:hAnsi="Times New Roman" w:cs="Times New Roman"/>
          <w:b/>
          <w:sz w:val="20"/>
          <w:szCs w:val="20"/>
        </w:rPr>
        <w:t>Малюнок 19</w:t>
      </w:r>
      <w:r w:rsidR="004F51C1">
        <w:rPr>
          <w:rFonts w:ascii="Times New Roman" w:hAnsi="Times New Roman" w:cs="Times New Roman"/>
          <w:b/>
          <w:sz w:val="20"/>
          <w:szCs w:val="20"/>
        </w:rPr>
        <w:t>.</w:t>
      </w:r>
      <w:r>
        <w:rPr>
          <w:rFonts w:ascii="Times New Roman" w:hAnsi="Times New Roman" w:cs="Times New Roman"/>
          <w:b/>
          <w:sz w:val="20"/>
          <w:szCs w:val="20"/>
        </w:rPr>
        <w:t xml:space="preserve"> Кількість першокласників 2014-2026 (факт та прогноз), осіб</w:t>
      </w:r>
    </w:p>
    <w:p w:rsidR="009B2948" w:rsidRPr="0082195E" w:rsidRDefault="009B2948" w:rsidP="009B2948">
      <w:pPr>
        <w:pStyle w:val="a7"/>
        <w:shd w:val="clear" w:color="auto" w:fill="auto"/>
        <w:spacing w:before="0" w:after="0" w:line="240" w:lineRule="auto"/>
        <w:ind w:firstLine="0"/>
        <w:jc w:val="center"/>
        <w:rPr>
          <w:rFonts w:ascii="Times New Roman" w:hAnsi="Times New Roman" w:cs="Times New Roman"/>
          <w:sz w:val="24"/>
          <w:szCs w:val="24"/>
        </w:rPr>
      </w:pPr>
    </w:p>
    <w:p w:rsidR="009B2948" w:rsidRPr="009B2948" w:rsidRDefault="009B2948" w:rsidP="004F51C1">
      <w:pPr>
        <w:pStyle w:val="a7"/>
        <w:shd w:val="clear" w:color="auto" w:fill="auto"/>
        <w:spacing w:before="0" w:after="64" w:line="276" w:lineRule="auto"/>
        <w:ind w:left="20" w:right="20" w:firstLine="688"/>
        <w:jc w:val="both"/>
        <w:rPr>
          <w:rFonts w:ascii="Times New Roman" w:hAnsi="Times New Roman" w:cs="Times New Roman"/>
          <w:sz w:val="24"/>
          <w:szCs w:val="24"/>
        </w:rPr>
      </w:pPr>
      <w:r w:rsidRPr="009B2948">
        <w:rPr>
          <w:rFonts w:ascii="Times New Roman" w:hAnsi="Times New Roman" w:cs="Times New Roman"/>
          <w:sz w:val="24"/>
          <w:szCs w:val="24"/>
        </w:rPr>
        <w:t>Слід розглядати можливість оптимізації мережі закладів освіти, для того, щоб збалансувати існуюче навантаження. При цьому необхідно врахувати інтереси сіл і селищ, які увійшли до складу громади і розраховують на збереження своїх навчальних закладів.</w:t>
      </w:r>
    </w:p>
    <w:p w:rsidR="009B2948" w:rsidRDefault="009B2948" w:rsidP="004F51C1">
      <w:pPr>
        <w:pStyle w:val="a7"/>
        <w:shd w:val="clear" w:color="auto" w:fill="auto"/>
        <w:spacing w:before="0" w:line="276" w:lineRule="auto"/>
        <w:ind w:left="20" w:right="20" w:firstLine="688"/>
        <w:jc w:val="both"/>
        <w:rPr>
          <w:rFonts w:ascii="Times New Roman" w:hAnsi="Times New Roman" w:cs="Times New Roman"/>
          <w:sz w:val="24"/>
          <w:szCs w:val="24"/>
        </w:rPr>
      </w:pPr>
      <w:r w:rsidRPr="009B2948">
        <w:rPr>
          <w:rFonts w:ascii="Times New Roman" w:hAnsi="Times New Roman" w:cs="Times New Roman"/>
          <w:sz w:val="24"/>
          <w:szCs w:val="24"/>
        </w:rPr>
        <w:t>Якщо питання з наповненням шкіл не буде вирішено, це призведе до подальшого збільшення навантаження на місцевий бюджет. І, відповідно, позначиться на якості навчання: адже громада не матиме достатнього ресурсу для мотивування викладачів і для оновлення матеріально-технічної бази шкіл.</w:t>
      </w:r>
    </w:p>
    <w:p w:rsidR="00B4571E" w:rsidRPr="009B2948" w:rsidRDefault="00B4571E" w:rsidP="004F51C1">
      <w:pPr>
        <w:pStyle w:val="a7"/>
        <w:shd w:val="clear" w:color="auto" w:fill="auto"/>
        <w:spacing w:before="0" w:line="276" w:lineRule="auto"/>
        <w:ind w:left="20" w:right="20" w:firstLine="688"/>
        <w:jc w:val="both"/>
        <w:rPr>
          <w:rFonts w:ascii="Times New Roman" w:hAnsi="Times New Roman" w:cs="Times New Roman"/>
          <w:sz w:val="24"/>
          <w:szCs w:val="24"/>
        </w:rPr>
      </w:pPr>
    </w:p>
    <w:p w:rsidR="00B4571E" w:rsidRPr="004F51C1" w:rsidRDefault="00B4571E" w:rsidP="004F51C1">
      <w:pPr>
        <w:pStyle w:val="40"/>
        <w:keepNext/>
        <w:keepLines/>
        <w:shd w:val="clear" w:color="auto" w:fill="auto"/>
        <w:spacing w:before="0" w:after="70" w:line="276" w:lineRule="auto"/>
        <w:ind w:left="20"/>
        <w:jc w:val="center"/>
        <w:rPr>
          <w:sz w:val="24"/>
          <w:szCs w:val="24"/>
        </w:rPr>
      </w:pPr>
      <w:bookmarkStart w:id="27" w:name="bookmark41"/>
      <w:bookmarkStart w:id="28" w:name="bookmark42"/>
      <w:r w:rsidRPr="004F51C1">
        <w:rPr>
          <w:sz w:val="24"/>
          <w:szCs w:val="24"/>
        </w:rPr>
        <w:t>1.6.2</w:t>
      </w:r>
      <w:r w:rsidR="00EE0E54">
        <w:rPr>
          <w:sz w:val="24"/>
          <w:szCs w:val="24"/>
        </w:rPr>
        <w:t>.</w:t>
      </w:r>
      <w:r w:rsidRPr="004F51C1">
        <w:rPr>
          <w:sz w:val="24"/>
          <w:szCs w:val="24"/>
        </w:rPr>
        <w:t xml:space="preserve"> Охорона здоров'я</w:t>
      </w:r>
      <w:bookmarkEnd w:id="27"/>
      <w:bookmarkEnd w:id="28"/>
    </w:p>
    <w:p w:rsidR="008F56D4" w:rsidRPr="008F56D4" w:rsidRDefault="008F56D4" w:rsidP="004F51C1">
      <w:pPr>
        <w:numPr>
          <w:ilvl w:val="1"/>
          <w:numId w:val="4"/>
        </w:numPr>
        <w:suppressAutoHyphens/>
        <w:spacing w:after="0"/>
        <w:ind w:left="0" w:firstLine="851"/>
        <w:jc w:val="both"/>
        <w:rPr>
          <w:rFonts w:ascii="Times New Roman" w:hAnsi="Times New Roman" w:cs="Times New Roman"/>
          <w:sz w:val="24"/>
          <w:szCs w:val="24"/>
        </w:rPr>
      </w:pPr>
      <w:r w:rsidRPr="008F56D4">
        <w:rPr>
          <w:rFonts w:ascii="Times New Roman" w:hAnsi="Times New Roman" w:cs="Times New Roman"/>
          <w:sz w:val="24"/>
          <w:szCs w:val="24"/>
        </w:rPr>
        <w:t>В місті Костянтинівка функціонує заклад перв</w:t>
      </w:r>
      <w:r w:rsidR="003B26CF">
        <w:rPr>
          <w:rFonts w:ascii="Times New Roman" w:hAnsi="Times New Roman" w:cs="Times New Roman"/>
          <w:sz w:val="24"/>
          <w:szCs w:val="24"/>
        </w:rPr>
        <w:t>инної ланки  охорони здоров’я  к</w:t>
      </w:r>
      <w:r w:rsidRPr="008F56D4">
        <w:rPr>
          <w:rFonts w:ascii="Times New Roman" w:hAnsi="Times New Roman" w:cs="Times New Roman"/>
          <w:sz w:val="24"/>
          <w:szCs w:val="24"/>
        </w:rPr>
        <w:t>омунальне підприємство «Центр первинної медико-санітарної допомоги Костянтинівської міської ради»</w:t>
      </w:r>
      <w:r w:rsidR="003B26CF">
        <w:rPr>
          <w:rFonts w:ascii="Times New Roman" w:hAnsi="Times New Roman" w:cs="Times New Roman"/>
          <w:sz w:val="24"/>
          <w:szCs w:val="24"/>
        </w:rPr>
        <w:t xml:space="preserve"> (далі – КП ЦПМСД)</w:t>
      </w:r>
      <w:r w:rsidRPr="008F56D4">
        <w:rPr>
          <w:rFonts w:ascii="Times New Roman" w:hAnsi="Times New Roman" w:cs="Times New Roman"/>
          <w:sz w:val="24"/>
          <w:szCs w:val="24"/>
        </w:rPr>
        <w:t xml:space="preserve">, заклади охорони здоров’я вторинної ланки: </w:t>
      </w:r>
      <w:r w:rsidR="003B26CF">
        <w:rPr>
          <w:rFonts w:ascii="Times New Roman" w:hAnsi="Times New Roman" w:cs="Times New Roman"/>
          <w:sz w:val="24"/>
          <w:szCs w:val="24"/>
        </w:rPr>
        <w:t>к</w:t>
      </w:r>
      <w:r w:rsidRPr="008F56D4">
        <w:rPr>
          <w:rFonts w:ascii="Times New Roman" w:hAnsi="Times New Roman" w:cs="Times New Roman"/>
          <w:sz w:val="24"/>
          <w:szCs w:val="24"/>
        </w:rPr>
        <w:t>омунал</w:t>
      </w:r>
      <w:r w:rsidR="003B26CF">
        <w:rPr>
          <w:rFonts w:ascii="Times New Roman" w:hAnsi="Times New Roman" w:cs="Times New Roman"/>
          <w:sz w:val="24"/>
          <w:szCs w:val="24"/>
        </w:rPr>
        <w:t>ьне некомерційне підприємство «</w:t>
      </w:r>
      <w:r w:rsidRPr="008F56D4">
        <w:rPr>
          <w:rFonts w:ascii="Times New Roman" w:hAnsi="Times New Roman" w:cs="Times New Roman"/>
          <w:sz w:val="24"/>
          <w:szCs w:val="24"/>
        </w:rPr>
        <w:t>Багатопрофільна лікарня інтенсивного лікування К</w:t>
      </w:r>
      <w:r w:rsidR="00EE0E54">
        <w:rPr>
          <w:rFonts w:ascii="Times New Roman" w:hAnsi="Times New Roman" w:cs="Times New Roman"/>
          <w:sz w:val="24"/>
          <w:szCs w:val="24"/>
        </w:rPr>
        <w:t>остянтинівської міської ради»</w:t>
      </w:r>
      <w:r w:rsidR="00EE0E54" w:rsidRPr="00EE0E54">
        <w:rPr>
          <w:rFonts w:ascii="Times New Roman" w:hAnsi="Times New Roman" w:cs="Times New Roman"/>
          <w:sz w:val="24"/>
          <w:szCs w:val="24"/>
        </w:rPr>
        <w:t xml:space="preserve"> </w:t>
      </w:r>
      <w:r w:rsidR="00EE0E54">
        <w:rPr>
          <w:rFonts w:ascii="Times New Roman" w:hAnsi="Times New Roman" w:cs="Times New Roman"/>
          <w:sz w:val="24"/>
          <w:szCs w:val="24"/>
        </w:rPr>
        <w:t>(</w:t>
      </w:r>
      <w:r w:rsidR="00EE0E54" w:rsidRPr="008F56D4">
        <w:rPr>
          <w:rFonts w:ascii="Times New Roman" w:hAnsi="Times New Roman" w:cs="Times New Roman"/>
          <w:sz w:val="24"/>
          <w:szCs w:val="24"/>
        </w:rPr>
        <w:t>КНП «БЛІЛ</w:t>
      </w:r>
      <w:r w:rsidR="003B26CF">
        <w:rPr>
          <w:rFonts w:ascii="Times New Roman" w:hAnsi="Times New Roman" w:cs="Times New Roman"/>
          <w:sz w:val="24"/>
          <w:szCs w:val="24"/>
        </w:rPr>
        <w:t>»)</w:t>
      </w:r>
      <w:r w:rsidR="00EE0E54">
        <w:rPr>
          <w:rFonts w:ascii="Times New Roman" w:hAnsi="Times New Roman" w:cs="Times New Roman"/>
          <w:sz w:val="24"/>
          <w:szCs w:val="24"/>
        </w:rPr>
        <w:t>, к</w:t>
      </w:r>
      <w:r w:rsidRPr="008F56D4">
        <w:rPr>
          <w:rFonts w:ascii="Times New Roman" w:hAnsi="Times New Roman" w:cs="Times New Roman"/>
          <w:sz w:val="24"/>
          <w:szCs w:val="24"/>
        </w:rPr>
        <w:t>омунальне некомерційне підприємство «Міська стоматологічна поліклініка Костянтинівської міської ради»</w:t>
      </w:r>
      <w:r w:rsidR="00EE0E54">
        <w:rPr>
          <w:rFonts w:ascii="Times New Roman" w:hAnsi="Times New Roman" w:cs="Times New Roman"/>
          <w:sz w:val="24"/>
          <w:szCs w:val="24"/>
        </w:rPr>
        <w:t xml:space="preserve"> (далі - </w:t>
      </w:r>
      <w:r w:rsidR="00EE0E54" w:rsidRPr="008F56D4">
        <w:rPr>
          <w:rFonts w:ascii="Times New Roman" w:hAnsi="Times New Roman" w:cs="Times New Roman"/>
          <w:sz w:val="24"/>
          <w:szCs w:val="24"/>
        </w:rPr>
        <w:t>КНП «МСП</w:t>
      </w:r>
      <w:r w:rsidR="003B26CF">
        <w:rPr>
          <w:rFonts w:ascii="Times New Roman" w:hAnsi="Times New Roman" w:cs="Times New Roman"/>
          <w:sz w:val="24"/>
          <w:szCs w:val="24"/>
        </w:rPr>
        <w:t xml:space="preserve"> </w:t>
      </w:r>
      <w:r w:rsidR="00EE0E54">
        <w:rPr>
          <w:rFonts w:ascii="Times New Roman" w:hAnsi="Times New Roman" w:cs="Times New Roman"/>
          <w:sz w:val="24"/>
          <w:szCs w:val="24"/>
        </w:rPr>
        <w:t>»)</w:t>
      </w:r>
      <w:r w:rsidRPr="008F56D4">
        <w:rPr>
          <w:rFonts w:ascii="Times New Roman" w:hAnsi="Times New Roman" w:cs="Times New Roman"/>
          <w:sz w:val="24"/>
          <w:szCs w:val="24"/>
        </w:rPr>
        <w:t>.</w:t>
      </w:r>
    </w:p>
    <w:p w:rsidR="008F56D4" w:rsidRPr="008F56D4" w:rsidRDefault="008F56D4" w:rsidP="004F51C1">
      <w:pPr>
        <w:numPr>
          <w:ilvl w:val="1"/>
          <w:numId w:val="4"/>
        </w:numPr>
        <w:suppressAutoHyphens/>
        <w:spacing w:after="0"/>
        <w:ind w:left="0" w:firstLine="851"/>
        <w:jc w:val="both"/>
        <w:rPr>
          <w:rFonts w:ascii="Times New Roman" w:hAnsi="Times New Roman" w:cs="Times New Roman"/>
          <w:sz w:val="24"/>
          <w:szCs w:val="24"/>
        </w:rPr>
      </w:pPr>
      <w:r w:rsidRPr="008F56D4">
        <w:rPr>
          <w:rFonts w:ascii="Times New Roman" w:hAnsi="Times New Roman" w:cs="Times New Roman"/>
          <w:sz w:val="24"/>
          <w:szCs w:val="24"/>
        </w:rPr>
        <w:t>КП «ЦПМСД</w:t>
      </w:r>
      <w:r w:rsidR="003B26CF">
        <w:rPr>
          <w:rFonts w:ascii="Times New Roman" w:hAnsi="Times New Roman" w:cs="Times New Roman"/>
          <w:sz w:val="24"/>
          <w:szCs w:val="24"/>
        </w:rPr>
        <w:t xml:space="preserve">» у складі 7 амбулаторій надає первинну медичну </w:t>
      </w:r>
      <w:r w:rsidR="00C67804">
        <w:rPr>
          <w:rFonts w:ascii="Times New Roman" w:hAnsi="Times New Roman" w:cs="Times New Roman"/>
          <w:sz w:val="24"/>
          <w:szCs w:val="24"/>
        </w:rPr>
        <w:t xml:space="preserve">допомогу населенню </w:t>
      </w:r>
      <w:r w:rsidR="00C731D7">
        <w:rPr>
          <w:rFonts w:ascii="Times New Roman" w:hAnsi="Times New Roman" w:cs="Times New Roman"/>
          <w:sz w:val="24"/>
          <w:szCs w:val="24"/>
        </w:rPr>
        <w:t>Костянтинівської</w:t>
      </w:r>
      <w:r w:rsidR="00C67804">
        <w:rPr>
          <w:rFonts w:ascii="Times New Roman" w:hAnsi="Times New Roman" w:cs="Times New Roman"/>
          <w:sz w:val="24"/>
          <w:szCs w:val="24"/>
        </w:rPr>
        <w:t xml:space="preserve"> громади</w:t>
      </w:r>
      <w:r w:rsidR="00EE0E54">
        <w:rPr>
          <w:rFonts w:ascii="Times New Roman" w:hAnsi="Times New Roman" w:cs="Times New Roman"/>
          <w:sz w:val="24"/>
          <w:szCs w:val="24"/>
        </w:rPr>
        <w:t xml:space="preserve">, </w:t>
      </w:r>
      <w:r w:rsidRPr="008F56D4">
        <w:rPr>
          <w:rFonts w:ascii="Times New Roman" w:hAnsi="Times New Roman" w:cs="Times New Roman"/>
          <w:sz w:val="24"/>
          <w:szCs w:val="24"/>
        </w:rPr>
        <w:t>КНП «БЛІЛ</w:t>
      </w:r>
      <w:r w:rsidR="00EE0E54">
        <w:rPr>
          <w:rFonts w:ascii="Times New Roman" w:hAnsi="Times New Roman" w:cs="Times New Roman"/>
          <w:sz w:val="24"/>
          <w:szCs w:val="24"/>
        </w:rPr>
        <w:t>»</w:t>
      </w:r>
      <w:r w:rsidRPr="008F56D4">
        <w:rPr>
          <w:rFonts w:ascii="Times New Roman" w:hAnsi="Times New Roman" w:cs="Times New Roman"/>
          <w:sz w:val="24"/>
          <w:szCs w:val="24"/>
        </w:rPr>
        <w:t xml:space="preserve"> </w:t>
      </w:r>
      <w:r w:rsidR="00C731D7">
        <w:rPr>
          <w:rFonts w:ascii="Times New Roman" w:hAnsi="Times New Roman" w:cs="Times New Roman"/>
          <w:sz w:val="24"/>
          <w:szCs w:val="24"/>
        </w:rPr>
        <w:t xml:space="preserve">- </w:t>
      </w:r>
      <w:r w:rsidRPr="008F56D4">
        <w:rPr>
          <w:rFonts w:ascii="Times New Roman" w:hAnsi="Times New Roman" w:cs="Times New Roman"/>
          <w:sz w:val="24"/>
          <w:szCs w:val="24"/>
        </w:rPr>
        <w:t>на 374 ліжка - вторинну  поліклінічну та стаціонарну медичну допомогу на</w:t>
      </w:r>
      <w:r w:rsidR="00EE0E54">
        <w:rPr>
          <w:rFonts w:ascii="Times New Roman" w:hAnsi="Times New Roman" w:cs="Times New Roman"/>
          <w:sz w:val="24"/>
          <w:szCs w:val="24"/>
        </w:rPr>
        <w:t>селенню Костянтинівської г</w:t>
      </w:r>
      <w:r w:rsidRPr="008F56D4">
        <w:rPr>
          <w:rFonts w:ascii="Times New Roman" w:hAnsi="Times New Roman" w:cs="Times New Roman"/>
          <w:sz w:val="24"/>
          <w:szCs w:val="24"/>
        </w:rPr>
        <w:t>ромади, Іллінівської громади та частині населення Ясинуватського району</w:t>
      </w:r>
      <w:r w:rsidR="00EE0E54">
        <w:rPr>
          <w:rFonts w:ascii="Times New Roman" w:hAnsi="Times New Roman" w:cs="Times New Roman"/>
          <w:sz w:val="24"/>
          <w:szCs w:val="24"/>
        </w:rPr>
        <w:t>.</w:t>
      </w:r>
      <w:r w:rsidRPr="008F56D4">
        <w:rPr>
          <w:rFonts w:ascii="Times New Roman" w:hAnsi="Times New Roman" w:cs="Times New Roman"/>
          <w:sz w:val="24"/>
          <w:szCs w:val="24"/>
        </w:rPr>
        <w:t xml:space="preserve"> КНП «МСП» надає спеціалізовану стоматологічну  медичну допомогу населенню м. Костянтинівки та прилеглих територій. Спеціалізовану медичну допомогу надають також КЛПУ «Міська інфекційна лікарня» та 4 відокремлених структурних підрозділи обласних закладів охорони здоров’я. Показник забезпеченості ліжками Костянтинівської </w:t>
      </w:r>
      <w:r w:rsidR="00C731D7">
        <w:rPr>
          <w:rFonts w:ascii="Times New Roman" w:hAnsi="Times New Roman" w:cs="Times New Roman"/>
          <w:sz w:val="24"/>
          <w:szCs w:val="24"/>
        </w:rPr>
        <w:t>г</w:t>
      </w:r>
      <w:r w:rsidRPr="008F56D4">
        <w:rPr>
          <w:rFonts w:ascii="Times New Roman" w:hAnsi="Times New Roman" w:cs="Times New Roman"/>
          <w:sz w:val="24"/>
          <w:szCs w:val="24"/>
        </w:rPr>
        <w:t>ромади стан</w:t>
      </w:r>
      <w:r>
        <w:rPr>
          <w:rFonts w:ascii="Times New Roman" w:hAnsi="Times New Roman" w:cs="Times New Roman"/>
          <w:sz w:val="24"/>
          <w:szCs w:val="24"/>
        </w:rPr>
        <w:t>ом на 01.01.2021 року становить</w:t>
      </w:r>
      <w:r w:rsidRPr="008F56D4">
        <w:rPr>
          <w:rFonts w:ascii="Times New Roman" w:hAnsi="Times New Roman" w:cs="Times New Roman"/>
          <w:sz w:val="24"/>
          <w:szCs w:val="24"/>
        </w:rPr>
        <w:t xml:space="preserve"> 52,2 на 10 тис. міського  населення.  </w:t>
      </w:r>
    </w:p>
    <w:p w:rsidR="008F56D4" w:rsidRPr="008F56D4" w:rsidRDefault="008F56D4" w:rsidP="004F51C1">
      <w:pPr>
        <w:numPr>
          <w:ilvl w:val="1"/>
          <w:numId w:val="4"/>
        </w:numPr>
        <w:suppressAutoHyphens/>
        <w:spacing w:after="0"/>
        <w:ind w:left="0" w:firstLine="851"/>
        <w:jc w:val="both"/>
        <w:rPr>
          <w:rFonts w:ascii="Times New Roman" w:hAnsi="Times New Roman" w:cs="Times New Roman"/>
          <w:sz w:val="24"/>
          <w:szCs w:val="24"/>
        </w:rPr>
      </w:pPr>
      <w:r w:rsidRPr="008F56D4">
        <w:rPr>
          <w:rFonts w:ascii="Times New Roman" w:hAnsi="Times New Roman" w:cs="Times New Roman"/>
          <w:sz w:val="24"/>
          <w:szCs w:val="24"/>
        </w:rPr>
        <w:t>У</w:t>
      </w:r>
      <w:r>
        <w:rPr>
          <w:rFonts w:ascii="Times New Roman" w:hAnsi="Times New Roman" w:cs="Times New Roman"/>
          <w:sz w:val="24"/>
          <w:szCs w:val="24"/>
        </w:rPr>
        <w:t xml:space="preserve"> 2020 році</w:t>
      </w:r>
      <w:r w:rsidR="00C731D7">
        <w:rPr>
          <w:rFonts w:ascii="Times New Roman" w:hAnsi="Times New Roman" w:cs="Times New Roman"/>
          <w:sz w:val="24"/>
          <w:szCs w:val="24"/>
        </w:rPr>
        <w:t xml:space="preserve"> зроблено 556466 відвідувань</w:t>
      </w:r>
      <w:r w:rsidRPr="008F56D4">
        <w:rPr>
          <w:rFonts w:ascii="Times New Roman" w:hAnsi="Times New Roman" w:cs="Times New Roman"/>
          <w:sz w:val="24"/>
          <w:szCs w:val="24"/>
        </w:rPr>
        <w:t xml:space="preserve"> амбулаторно-поліклінічних закладів, що на 37,9% більше, ніж за 2019 рік (403359 відвідувань). Більш інтенсивно здійснюється лікувально-діагностичний процес в стаціонарах: середнє перебування хворого на ліжку нижче показника минулого року та складає  – 9,1 доби (за 2019 рік - 9,8). Разом з тим робота ліжка складає </w:t>
      </w:r>
      <w:r>
        <w:rPr>
          <w:rFonts w:ascii="Times New Roman" w:hAnsi="Times New Roman" w:cs="Times New Roman"/>
          <w:sz w:val="24"/>
          <w:szCs w:val="24"/>
        </w:rPr>
        <w:t xml:space="preserve">            </w:t>
      </w:r>
      <w:r w:rsidRPr="008F56D4">
        <w:rPr>
          <w:rFonts w:ascii="Times New Roman" w:hAnsi="Times New Roman" w:cs="Times New Roman"/>
          <w:sz w:val="24"/>
          <w:szCs w:val="24"/>
        </w:rPr>
        <w:lastRenderedPageBreak/>
        <w:t xml:space="preserve">187,2 дня, при плановій 340,0 (за 2019 рік цей </w:t>
      </w:r>
      <w:r>
        <w:rPr>
          <w:rFonts w:ascii="Times New Roman" w:hAnsi="Times New Roman" w:cs="Times New Roman"/>
          <w:sz w:val="24"/>
          <w:szCs w:val="24"/>
        </w:rPr>
        <w:t>показник дорівнював</w:t>
      </w:r>
      <w:r w:rsidRPr="008F56D4">
        <w:rPr>
          <w:rFonts w:ascii="Times New Roman" w:hAnsi="Times New Roman" w:cs="Times New Roman"/>
          <w:sz w:val="24"/>
          <w:szCs w:val="24"/>
        </w:rPr>
        <w:t xml:space="preserve"> 327,8,5 дня). Зниження роботи ліжка та кількості відвідувань пов'язано з тимчасовим припиненням прийомів планових хворих з хронічними захворюваннями в зв’язку з карантинними заходами, викликаними </w:t>
      </w:r>
      <w:proofErr w:type="spellStart"/>
      <w:r w:rsidRPr="008F56D4">
        <w:rPr>
          <w:rFonts w:ascii="Times New Roman" w:hAnsi="Times New Roman" w:cs="Times New Roman"/>
          <w:sz w:val="24"/>
          <w:szCs w:val="24"/>
        </w:rPr>
        <w:t>короновірусною</w:t>
      </w:r>
      <w:proofErr w:type="spellEnd"/>
      <w:r w:rsidRPr="008F56D4">
        <w:rPr>
          <w:rFonts w:ascii="Times New Roman" w:hAnsi="Times New Roman" w:cs="Times New Roman"/>
          <w:sz w:val="24"/>
          <w:szCs w:val="24"/>
        </w:rPr>
        <w:t xml:space="preserve"> інфекцією. </w:t>
      </w:r>
    </w:p>
    <w:p w:rsidR="008F56D4" w:rsidRDefault="008F56D4" w:rsidP="004F51C1">
      <w:pPr>
        <w:numPr>
          <w:ilvl w:val="1"/>
          <w:numId w:val="4"/>
        </w:numPr>
        <w:suppressAutoHyphens/>
        <w:spacing w:after="0"/>
        <w:ind w:left="0" w:firstLine="851"/>
        <w:jc w:val="both"/>
        <w:rPr>
          <w:rFonts w:ascii="Times New Roman" w:hAnsi="Times New Roman" w:cs="Times New Roman"/>
          <w:sz w:val="24"/>
          <w:szCs w:val="24"/>
        </w:rPr>
      </w:pPr>
      <w:r w:rsidRPr="008F56D4">
        <w:rPr>
          <w:rFonts w:ascii="Times New Roman" w:hAnsi="Times New Roman" w:cs="Times New Roman"/>
          <w:sz w:val="24"/>
          <w:szCs w:val="24"/>
        </w:rPr>
        <w:t>К</w:t>
      </w:r>
      <w:r w:rsidR="00C731D7">
        <w:rPr>
          <w:rFonts w:ascii="Times New Roman" w:hAnsi="Times New Roman" w:cs="Times New Roman"/>
          <w:sz w:val="24"/>
          <w:szCs w:val="24"/>
        </w:rPr>
        <w:t>ількість хворих на туберкульоз</w:t>
      </w:r>
      <w:r w:rsidRPr="008F56D4">
        <w:rPr>
          <w:rFonts w:ascii="Times New Roman" w:hAnsi="Times New Roman" w:cs="Times New Roman"/>
          <w:sz w:val="24"/>
          <w:szCs w:val="24"/>
        </w:rPr>
        <w:t xml:space="preserve"> вперше в житті </w:t>
      </w:r>
      <w:r w:rsidR="00C731D7">
        <w:rPr>
          <w:rFonts w:ascii="Times New Roman" w:hAnsi="Times New Roman" w:cs="Times New Roman"/>
          <w:sz w:val="24"/>
          <w:szCs w:val="24"/>
        </w:rPr>
        <w:t xml:space="preserve">з </w:t>
      </w:r>
      <w:r w:rsidRPr="008F56D4">
        <w:rPr>
          <w:rFonts w:ascii="Times New Roman" w:hAnsi="Times New Roman" w:cs="Times New Roman"/>
          <w:sz w:val="24"/>
          <w:szCs w:val="24"/>
        </w:rPr>
        <w:t>встановленим діагнозом протягом 2020 року складає - 16 осіб (за 2019 рік - 20 осіб). Рівень захворюваності склав – 22,2 на                  100 тис. населення (за 2019 року – 27,9), тобто має місце зменшення на 5,7% в пор</w:t>
      </w:r>
      <w:r>
        <w:rPr>
          <w:rFonts w:ascii="Times New Roman" w:hAnsi="Times New Roman" w:cs="Times New Roman"/>
          <w:sz w:val="24"/>
          <w:szCs w:val="24"/>
        </w:rPr>
        <w:t>івнянні                    з 2019 роком. Виявлення</w:t>
      </w:r>
      <w:r w:rsidRPr="008F56D4">
        <w:rPr>
          <w:rFonts w:ascii="Times New Roman" w:hAnsi="Times New Roman" w:cs="Times New Roman"/>
          <w:sz w:val="24"/>
          <w:szCs w:val="24"/>
        </w:rPr>
        <w:t xml:space="preserve"> туберкуль</w:t>
      </w:r>
      <w:r>
        <w:rPr>
          <w:rFonts w:ascii="Times New Roman" w:hAnsi="Times New Roman" w:cs="Times New Roman"/>
          <w:sz w:val="24"/>
          <w:szCs w:val="24"/>
        </w:rPr>
        <w:t xml:space="preserve">озу при профілактичних оглядах </w:t>
      </w:r>
      <w:r w:rsidRPr="008F56D4">
        <w:rPr>
          <w:rFonts w:ascii="Times New Roman" w:hAnsi="Times New Roman" w:cs="Times New Roman"/>
          <w:sz w:val="24"/>
          <w:szCs w:val="24"/>
        </w:rPr>
        <w:t>ста</w:t>
      </w:r>
      <w:r>
        <w:rPr>
          <w:rFonts w:ascii="Times New Roman" w:hAnsi="Times New Roman" w:cs="Times New Roman"/>
          <w:sz w:val="24"/>
          <w:szCs w:val="24"/>
        </w:rPr>
        <w:t xml:space="preserve">новить 48,1% </w:t>
      </w:r>
      <w:r w:rsidRPr="008F56D4">
        <w:rPr>
          <w:rFonts w:ascii="Times New Roman" w:hAnsi="Times New Roman" w:cs="Times New Roman"/>
          <w:sz w:val="24"/>
          <w:szCs w:val="24"/>
        </w:rPr>
        <w:t>(2019 рік</w:t>
      </w:r>
      <w:r>
        <w:rPr>
          <w:rFonts w:ascii="Times New Roman" w:hAnsi="Times New Roman" w:cs="Times New Roman"/>
          <w:sz w:val="24"/>
          <w:szCs w:val="24"/>
        </w:rPr>
        <w:t xml:space="preserve"> – 52,0%). Охоплення </w:t>
      </w:r>
      <w:r w:rsidR="00C731D7">
        <w:rPr>
          <w:rFonts w:ascii="Times New Roman" w:hAnsi="Times New Roman" w:cs="Times New Roman"/>
          <w:sz w:val="24"/>
          <w:szCs w:val="24"/>
        </w:rPr>
        <w:t xml:space="preserve">профілактичним </w:t>
      </w:r>
      <w:r w:rsidRPr="008F56D4">
        <w:rPr>
          <w:rFonts w:ascii="Times New Roman" w:hAnsi="Times New Roman" w:cs="Times New Roman"/>
          <w:sz w:val="24"/>
          <w:szCs w:val="24"/>
        </w:rPr>
        <w:t>обстеженням на туберкульоз дорослого та д</w:t>
      </w:r>
      <w:r>
        <w:rPr>
          <w:rFonts w:ascii="Times New Roman" w:hAnsi="Times New Roman" w:cs="Times New Roman"/>
          <w:sz w:val="24"/>
          <w:szCs w:val="24"/>
        </w:rPr>
        <w:t xml:space="preserve">итячого населення за 2020 року </w:t>
      </w:r>
      <w:r w:rsidRPr="008F56D4">
        <w:rPr>
          <w:rFonts w:ascii="Times New Roman" w:hAnsi="Times New Roman" w:cs="Times New Roman"/>
          <w:sz w:val="24"/>
          <w:szCs w:val="24"/>
        </w:rPr>
        <w:t xml:space="preserve">складає – 300 на 1000 </w:t>
      </w:r>
      <w:r w:rsidR="00C731D7">
        <w:rPr>
          <w:rFonts w:ascii="Times New Roman" w:hAnsi="Times New Roman" w:cs="Times New Roman"/>
          <w:sz w:val="24"/>
          <w:szCs w:val="24"/>
        </w:rPr>
        <w:t xml:space="preserve">осіб </w:t>
      </w:r>
      <w:r w:rsidRPr="008F56D4">
        <w:rPr>
          <w:rFonts w:ascii="Times New Roman" w:hAnsi="Times New Roman" w:cs="Times New Roman"/>
          <w:sz w:val="24"/>
          <w:szCs w:val="24"/>
        </w:rPr>
        <w:t>населення, профілактичним рентгенологічним дослідженням – 252,7 на 1000</w:t>
      </w:r>
      <w:r w:rsidR="00C731D7">
        <w:rPr>
          <w:rFonts w:ascii="Times New Roman" w:hAnsi="Times New Roman" w:cs="Times New Roman"/>
          <w:sz w:val="24"/>
          <w:szCs w:val="24"/>
        </w:rPr>
        <w:t xml:space="preserve"> осіб</w:t>
      </w:r>
      <w:r w:rsidRPr="008F56D4">
        <w:rPr>
          <w:rFonts w:ascii="Times New Roman" w:hAnsi="Times New Roman" w:cs="Times New Roman"/>
          <w:sz w:val="24"/>
          <w:szCs w:val="24"/>
        </w:rPr>
        <w:t xml:space="preserve"> населення. </w:t>
      </w:r>
    </w:p>
    <w:p w:rsidR="00A927A0" w:rsidRPr="00A927A0" w:rsidRDefault="00A927A0" w:rsidP="004F51C1">
      <w:pPr>
        <w:numPr>
          <w:ilvl w:val="0"/>
          <w:numId w:val="4"/>
        </w:numPr>
        <w:suppressAutoHyphens/>
        <w:spacing w:after="0"/>
        <w:jc w:val="both"/>
        <w:rPr>
          <w:rFonts w:ascii="Times New Roman" w:hAnsi="Times New Roman" w:cs="Times New Roman"/>
          <w:sz w:val="24"/>
          <w:szCs w:val="24"/>
        </w:rPr>
      </w:pPr>
    </w:p>
    <w:p w:rsidR="008F56D4" w:rsidRDefault="008F56D4" w:rsidP="008F56D4">
      <w:pPr>
        <w:ind w:firstLine="540"/>
        <w:jc w:val="both"/>
      </w:pPr>
      <w:r w:rsidRPr="008F56D4">
        <w:rPr>
          <w:noProof/>
          <w:lang w:val="ru-RU" w:eastAsia="ru-RU"/>
        </w:rPr>
        <w:drawing>
          <wp:inline distT="0" distB="0" distL="0" distR="0">
            <wp:extent cx="5813425" cy="3040380"/>
            <wp:effectExtent l="19050" t="0" r="15875" b="7620"/>
            <wp:docPr id="15"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F56D4" w:rsidRPr="008F56D4" w:rsidRDefault="008F56D4" w:rsidP="008F56D4">
      <w:pPr>
        <w:ind w:firstLine="540"/>
        <w:jc w:val="center"/>
        <w:rPr>
          <w:rFonts w:ascii="Times New Roman" w:hAnsi="Times New Roman" w:cs="Times New Roman"/>
          <w:b/>
          <w:sz w:val="20"/>
          <w:szCs w:val="20"/>
        </w:rPr>
      </w:pPr>
      <w:r w:rsidRPr="008F56D4">
        <w:rPr>
          <w:rFonts w:ascii="Times New Roman" w:hAnsi="Times New Roman" w:cs="Times New Roman"/>
          <w:b/>
          <w:sz w:val="20"/>
          <w:szCs w:val="20"/>
        </w:rPr>
        <w:t>Малюнок 20</w:t>
      </w:r>
      <w:r w:rsidR="00C731D7">
        <w:rPr>
          <w:rFonts w:ascii="Times New Roman" w:hAnsi="Times New Roman" w:cs="Times New Roman"/>
          <w:b/>
          <w:sz w:val="20"/>
          <w:szCs w:val="20"/>
        </w:rPr>
        <w:t>.</w:t>
      </w:r>
      <w:r w:rsidRPr="008F56D4">
        <w:rPr>
          <w:rFonts w:ascii="Times New Roman" w:hAnsi="Times New Roman" w:cs="Times New Roman"/>
          <w:b/>
          <w:sz w:val="20"/>
          <w:szCs w:val="20"/>
        </w:rPr>
        <w:t xml:space="preserve"> Первина захворюваність на туберкульоз на 100 тис. населення</w:t>
      </w:r>
    </w:p>
    <w:p w:rsidR="008F56D4" w:rsidRPr="008F56D4" w:rsidRDefault="008F56D4" w:rsidP="00C731D7">
      <w:pPr>
        <w:pStyle w:val="a7"/>
        <w:shd w:val="clear" w:color="auto" w:fill="auto"/>
        <w:spacing w:before="0" w:after="64" w:line="276" w:lineRule="auto"/>
        <w:ind w:left="20" w:right="20" w:firstLine="520"/>
        <w:jc w:val="both"/>
        <w:rPr>
          <w:rFonts w:ascii="Times New Roman" w:hAnsi="Times New Roman" w:cs="Times New Roman"/>
          <w:sz w:val="24"/>
          <w:szCs w:val="24"/>
        </w:rPr>
      </w:pPr>
      <w:r w:rsidRPr="008F56D4">
        <w:rPr>
          <w:rFonts w:ascii="Times New Roman" w:hAnsi="Times New Roman" w:cs="Times New Roman"/>
          <w:sz w:val="24"/>
          <w:szCs w:val="24"/>
        </w:rPr>
        <w:t>Закладами охорони здоров'я міста</w:t>
      </w:r>
      <w:r w:rsidR="00C731D7">
        <w:rPr>
          <w:rFonts w:ascii="Times New Roman" w:hAnsi="Times New Roman" w:cs="Times New Roman"/>
          <w:sz w:val="24"/>
          <w:szCs w:val="24"/>
        </w:rPr>
        <w:t xml:space="preserve"> в 2020 році успішно реалізована</w:t>
      </w:r>
      <w:r w:rsidRPr="008F56D4">
        <w:rPr>
          <w:rFonts w:ascii="Times New Roman" w:hAnsi="Times New Roman" w:cs="Times New Roman"/>
          <w:sz w:val="24"/>
          <w:szCs w:val="24"/>
        </w:rPr>
        <w:t xml:space="preserve"> більшість запланованих заходів Програми </w:t>
      </w:r>
      <w:r w:rsidR="00C731D7" w:rsidRPr="008F56D4">
        <w:rPr>
          <w:rFonts w:ascii="Times New Roman" w:hAnsi="Times New Roman" w:cs="Times New Roman"/>
          <w:sz w:val="24"/>
          <w:szCs w:val="24"/>
        </w:rPr>
        <w:t>економічного</w:t>
      </w:r>
      <w:r w:rsidR="00C731D7">
        <w:rPr>
          <w:rFonts w:ascii="Times New Roman" w:hAnsi="Times New Roman" w:cs="Times New Roman"/>
          <w:sz w:val="24"/>
          <w:szCs w:val="24"/>
        </w:rPr>
        <w:t xml:space="preserve"> і</w:t>
      </w:r>
      <w:r w:rsidR="00C731D7" w:rsidRPr="008F56D4">
        <w:rPr>
          <w:rFonts w:ascii="Times New Roman" w:hAnsi="Times New Roman" w:cs="Times New Roman"/>
          <w:sz w:val="24"/>
          <w:szCs w:val="24"/>
        </w:rPr>
        <w:t xml:space="preserve"> </w:t>
      </w:r>
      <w:r w:rsidR="00C731D7">
        <w:rPr>
          <w:rFonts w:ascii="Times New Roman" w:hAnsi="Times New Roman" w:cs="Times New Roman"/>
          <w:sz w:val="24"/>
          <w:szCs w:val="24"/>
        </w:rPr>
        <w:t>соціального</w:t>
      </w:r>
      <w:r w:rsidRPr="008F56D4">
        <w:rPr>
          <w:rFonts w:ascii="Times New Roman" w:hAnsi="Times New Roman" w:cs="Times New Roman"/>
          <w:sz w:val="24"/>
          <w:szCs w:val="24"/>
        </w:rPr>
        <w:t xml:space="preserve"> розвитку.</w:t>
      </w:r>
    </w:p>
    <w:p w:rsidR="008F56D4" w:rsidRPr="008F56D4" w:rsidRDefault="008F56D4" w:rsidP="00C731D7">
      <w:pPr>
        <w:pStyle w:val="a7"/>
        <w:shd w:val="clear" w:color="auto" w:fill="auto"/>
        <w:spacing w:before="0" w:line="276" w:lineRule="auto"/>
        <w:ind w:left="20" w:right="20" w:firstLine="520"/>
        <w:jc w:val="both"/>
        <w:rPr>
          <w:rFonts w:ascii="Times New Roman" w:hAnsi="Times New Roman" w:cs="Times New Roman"/>
          <w:sz w:val="24"/>
          <w:szCs w:val="24"/>
        </w:rPr>
      </w:pPr>
      <w:r w:rsidRPr="008F56D4">
        <w:rPr>
          <w:rFonts w:ascii="Times New Roman" w:hAnsi="Times New Roman" w:cs="Times New Roman"/>
          <w:sz w:val="24"/>
          <w:szCs w:val="24"/>
        </w:rPr>
        <w:t>Здійснювалося укладання декларацій з лікарями комунального підприємства «Центр первинної м</w:t>
      </w:r>
      <w:r w:rsidR="00C731D7">
        <w:rPr>
          <w:rFonts w:ascii="Times New Roman" w:hAnsi="Times New Roman" w:cs="Times New Roman"/>
          <w:sz w:val="24"/>
          <w:szCs w:val="24"/>
        </w:rPr>
        <w:t>едико-санітарної допомоги</w:t>
      </w:r>
      <w:r w:rsidR="008423E0">
        <w:rPr>
          <w:rFonts w:ascii="Times New Roman" w:hAnsi="Times New Roman" w:cs="Times New Roman"/>
          <w:sz w:val="24"/>
          <w:szCs w:val="24"/>
        </w:rPr>
        <w:t xml:space="preserve"> Костянтинівської</w:t>
      </w:r>
      <w:r w:rsidRPr="008F56D4">
        <w:rPr>
          <w:rFonts w:ascii="Times New Roman" w:hAnsi="Times New Roman" w:cs="Times New Roman"/>
          <w:sz w:val="24"/>
          <w:szCs w:val="24"/>
        </w:rPr>
        <w:t xml:space="preserve"> міської ради</w:t>
      </w:r>
      <w:r w:rsidR="00C731D7">
        <w:rPr>
          <w:rFonts w:ascii="Times New Roman" w:hAnsi="Times New Roman" w:cs="Times New Roman"/>
          <w:sz w:val="24"/>
          <w:szCs w:val="24"/>
        </w:rPr>
        <w:t>»</w:t>
      </w:r>
      <w:r w:rsidRPr="008F56D4">
        <w:rPr>
          <w:rFonts w:ascii="Times New Roman" w:hAnsi="Times New Roman" w:cs="Times New Roman"/>
          <w:sz w:val="24"/>
          <w:szCs w:val="24"/>
        </w:rPr>
        <w:t xml:space="preserve"> на надання первинної медичної допомоги. </w:t>
      </w:r>
    </w:p>
    <w:p w:rsidR="00134F22" w:rsidRDefault="008F56D4" w:rsidP="00C731D7">
      <w:pPr>
        <w:pStyle w:val="a7"/>
        <w:shd w:val="clear" w:color="auto" w:fill="auto"/>
        <w:spacing w:before="0" w:line="276" w:lineRule="auto"/>
        <w:ind w:firstLine="540"/>
        <w:jc w:val="both"/>
        <w:rPr>
          <w:rFonts w:ascii="Times New Roman" w:hAnsi="Times New Roman" w:cs="Times New Roman"/>
          <w:sz w:val="24"/>
          <w:szCs w:val="24"/>
        </w:rPr>
      </w:pPr>
      <w:r w:rsidRPr="008F56D4">
        <w:rPr>
          <w:rFonts w:ascii="Times New Roman" w:hAnsi="Times New Roman" w:cs="Times New Roman"/>
          <w:sz w:val="24"/>
          <w:szCs w:val="24"/>
        </w:rPr>
        <w:t>Всі заклади охорони здоров'я мають необхідну кількість комп'ютерної техніки для укладання договору про медичне обслуговування населення із Національною службою здоров'я України, підключені до медичної інформаційної системи «</w:t>
      </w:r>
      <w:proofErr w:type="spellStart"/>
      <w:r w:rsidRPr="008F56D4">
        <w:rPr>
          <w:rFonts w:ascii="Times New Roman" w:hAnsi="Times New Roman" w:cs="Times New Roman"/>
          <w:sz w:val="24"/>
          <w:szCs w:val="24"/>
        </w:rPr>
        <w:t>Азкер.пеї</w:t>
      </w:r>
      <w:proofErr w:type="spellEnd"/>
      <w:r w:rsidRPr="008F56D4">
        <w:rPr>
          <w:rFonts w:ascii="Times New Roman" w:hAnsi="Times New Roman" w:cs="Times New Roman"/>
          <w:sz w:val="24"/>
          <w:szCs w:val="24"/>
        </w:rPr>
        <w:t>», отримані кваліфіковані електронні підписи (КЕП) головних лікарів, проведена реєстрація лікарів та медичних сестер у МІС, отримання КЕП лікарів.</w:t>
      </w:r>
    </w:p>
    <w:p w:rsidR="00A84BF3" w:rsidRDefault="00A84BF3" w:rsidP="008423E0">
      <w:pPr>
        <w:pStyle w:val="a7"/>
        <w:shd w:val="clear" w:color="auto" w:fill="auto"/>
        <w:spacing w:before="0" w:line="250" w:lineRule="exact"/>
        <w:ind w:firstLine="540"/>
        <w:jc w:val="both"/>
        <w:rPr>
          <w:rFonts w:ascii="Times New Roman" w:hAnsi="Times New Roman" w:cs="Times New Roman"/>
          <w:sz w:val="24"/>
          <w:szCs w:val="24"/>
        </w:rPr>
      </w:pPr>
    </w:p>
    <w:p w:rsidR="00A84BF3" w:rsidRPr="00C731D7" w:rsidRDefault="00A84BF3" w:rsidP="00A84BF3">
      <w:pPr>
        <w:pStyle w:val="40"/>
        <w:keepNext/>
        <w:keepLines/>
        <w:shd w:val="clear" w:color="auto" w:fill="auto"/>
        <w:spacing w:before="0" w:after="109" w:line="220" w:lineRule="exact"/>
        <w:ind w:left="140"/>
        <w:jc w:val="center"/>
        <w:rPr>
          <w:sz w:val="24"/>
          <w:szCs w:val="24"/>
        </w:rPr>
      </w:pPr>
      <w:bookmarkStart w:id="29" w:name="bookmark46"/>
      <w:bookmarkStart w:id="30" w:name="bookmark47"/>
      <w:r w:rsidRPr="00C731D7">
        <w:rPr>
          <w:sz w:val="24"/>
          <w:szCs w:val="24"/>
        </w:rPr>
        <w:t>1.6.3</w:t>
      </w:r>
      <w:r w:rsidR="00C731D7" w:rsidRPr="00C731D7">
        <w:rPr>
          <w:sz w:val="24"/>
          <w:szCs w:val="24"/>
        </w:rPr>
        <w:t>.</w:t>
      </w:r>
      <w:r w:rsidRPr="00C731D7">
        <w:rPr>
          <w:sz w:val="24"/>
          <w:szCs w:val="24"/>
        </w:rPr>
        <w:t xml:space="preserve"> Житлово-комунальне господарство</w:t>
      </w:r>
      <w:bookmarkEnd w:id="29"/>
      <w:bookmarkEnd w:id="30"/>
    </w:p>
    <w:p w:rsidR="00A84BF3" w:rsidRPr="00A84BF3" w:rsidRDefault="00A84BF3" w:rsidP="00A927A0">
      <w:pPr>
        <w:pStyle w:val="a7"/>
        <w:shd w:val="clear" w:color="auto" w:fill="auto"/>
        <w:spacing w:before="0" w:line="250" w:lineRule="exact"/>
        <w:ind w:left="20" w:right="20" w:firstLine="520"/>
        <w:jc w:val="both"/>
        <w:rPr>
          <w:rFonts w:ascii="Times New Roman" w:hAnsi="Times New Roman" w:cs="Times New Roman"/>
          <w:sz w:val="24"/>
          <w:szCs w:val="24"/>
        </w:rPr>
      </w:pPr>
      <w:r>
        <w:rPr>
          <w:rFonts w:ascii="Times New Roman" w:hAnsi="Times New Roman" w:cs="Times New Roman"/>
          <w:sz w:val="24"/>
          <w:szCs w:val="24"/>
        </w:rPr>
        <w:t>Житловий фонд Костянтин</w:t>
      </w:r>
      <w:r w:rsidRPr="00A84BF3">
        <w:rPr>
          <w:rFonts w:ascii="Times New Roman" w:hAnsi="Times New Roman" w:cs="Times New Roman"/>
          <w:sz w:val="24"/>
          <w:szCs w:val="24"/>
        </w:rPr>
        <w:t xml:space="preserve">івської громади складається із </w:t>
      </w:r>
      <w:r>
        <w:rPr>
          <w:rFonts w:ascii="Times New Roman" w:hAnsi="Times New Roman" w:cs="Times New Roman"/>
          <w:sz w:val="24"/>
          <w:szCs w:val="24"/>
        </w:rPr>
        <w:t>518 багатоповерхових будинків</w:t>
      </w:r>
      <w:r w:rsidRPr="00A84BF3">
        <w:rPr>
          <w:rFonts w:ascii="Times New Roman" w:hAnsi="Times New Roman" w:cs="Times New Roman"/>
          <w:sz w:val="24"/>
          <w:szCs w:val="24"/>
        </w:rPr>
        <w:t xml:space="preserve"> та</w:t>
      </w:r>
      <w:r>
        <w:rPr>
          <w:rFonts w:ascii="Times New Roman" w:hAnsi="Times New Roman" w:cs="Times New Roman"/>
          <w:sz w:val="24"/>
          <w:szCs w:val="24"/>
        </w:rPr>
        <w:t xml:space="preserve"> близько 15</w:t>
      </w:r>
      <w:r w:rsidR="00C731D7">
        <w:rPr>
          <w:rFonts w:ascii="Times New Roman" w:hAnsi="Times New Roman" w:cs="Times New Roman"/>
          <w:sz w:val="24"/>
          <w:szCs w:val="24"/>
        </w:rPr>
        <w:t xml:space="preserve"> тисяч</w:t>
      </w:r>
      <w:r>
        <w:rPr>
          <w:rFonts w:ascii="Times New Roman" w:hAnsi="Times New Roman" w:cs="Times New Roman"/>
          <w:sz w:val="24"/>
          <w:szCs w:val="24"/>
        </w:rPr>
        <w:t xml:space="preserve"> індивідуальних будинків</w:t>
      </w:r>
      <w:r w:rsidRPr="00A84BF3">
        <w:rPr>
          <w:rFonts w:ascii="Times New Roman" w:hAnsi="Times New Roman" w:cs="Times New Roman"/>
          <w:sz w:val="24"/>
          <w:szCs w:val="24"/>
        </w:rPr>
        <w:t>. Його розподіл по території громади є нерівномірним, що обумовлено більшою концентрацією об'</w:t>
      </w:r>
      <w:r>
        <w:rPr>
          <w:rFonts w:ascii="Times New Roman" w:hAnsi="Times New Roman" w:cs="Times New Roman"/>
          <w:sz w:val="24"/>
          <w:szCs w:val="24"/>
        </w:rPr>
        <w:t xml:space="preserve">єктів нерухомості в </w:t>
      </w:r>
      <w:r w:rsidR="00C731D7">
        <w:rPr>
          <w:rFonts w:ascii="Times New Roman" w:hAnsi="Times New Roman" w:cs="Times New Roman"/>
          <w:sz w:val="24"/>
          <w:szCs w:val="24"/>
        </w:rPr>
        <w:t xml:space="preserve">                          </w:t>
      </w:r>
      <w:r>
        <w:rPr>
          <w:rFonts w:ascii="Times New Roman" w:hAnsi="Times New Roman" w:cs="Times New Roman"/>
          <w:sz w:val="24"/>
          <w:szCs w:val="24"/>
        </w:rPr>
        <w:t>м. Костянтинівка</w:t>
      </w:r>
      <w:r w:rsidRPr="00A84BF3">
        <w:rPr>
          <w:rFonts w:ascii="Times New Roman" w:hAnsi="Times New Roman" w:cs="Times New Roman"/>
          <w:sz w:val="24"/>
          <w:szCs w:val="24"/>
        </w:rPr>
        <w:t>.</w:t>
      </w:r>
    </w:p>
    <w:p w:rsidR="003E22F5" w:rsidRPr="003E22F5" w:rsidRDefault="00C731D7" w:rsidP="00A927A0">
      <w:pPr>
        <w:pStyle w:val="a7"/>
        <w:shd w:val="clear" w:color="auto" w:fill="auto"/>
        <w:spacing w:before="0" w:line="250" w:lineRule="exact"/>
        <w:ind w:left="20" w:right="20" w:firstLine="520"/>
        <w:jc w:val="both"/>
        <w:rPr>
          <w:rFonts w:ascii="Times New Roman" w:hAnsi="Times New Roman" w:cs="Times New Roman"/>
          <w:sz w:val="24"/>
          <w:szCs w:val="24"/>
        </w:rPr>
      </w:pPr>
      <w:r>
        <w:rPr>
          <w:rFonts w:ascii="Times New Roman" w:hAnsi="Times New Roman" w:cs="Times New Roman"/>
          <w:sz w:val="24"/>
          <w:szCs w:val="24"/>
        </w:rPr>
        <w:t>В обслуговуванні КП «Служба єдиного замовника</w:t>
      </w:r>
      <w:r w:rsidR="003E22F5" w:rsidRPr="003E22F5">
        <w:rPr>
          <w:rFonts w:ascii="Times New Roman" w:hAnsi="Times New Roman" w:cs="Times New Roman"/>
          <w:sz w:val="24"/>
          <w:szCs w:val="24"/>
        </w:rPr>
        <w:t xml:space="preserve">» знаходяться 476 житлових будинків, з </w:t>
      </w:r>
      <w:r>
        <w:rPr>
          <w:rFonts w:ascii="Times New Roman" w:hAnsi="Times New Roman" w:cs="Times New Roman"/>
          <w:sz w:val="24"/>
          <w:szCs w:val="24"/>
        </w:rPr>
        <w:t xml:space="preserve">яких </w:t>
      </w:r>
      <w:r w:rsidR="003E22F5" w:rsidRPr="003E22F5">
        <w:rPr>
          <w:rFonts w:ascii="Times New Roman" w:hAnsi="Times New Roman" w:cs="Times New Roman"/>
          <w:sz w:val="24"/>
          <w:szCs w:val="24"/>
        </w:rPr>
        <w:t>452 багатоповерхових, у тому ч</w:t>
      </w:r>
      <w:r>
        <w:rPr>
          <w:rFonts w:ascii="Times New Roman" w:hAnsi="Times New Roman" w:cs="Times New Roman"/>
          <w:sz w:val="24"/>
          <w:szCs w:val="24"/>
        </w:rPr>
        <w:t>ислі</w:t>
      </w:r>
      <w:r w:rsidR="003E22F5" w:rsidRPr="003E22F5">
        <w:rPr>
          <w:rFonts w:ascii="Times New Roman" w:hAnsi="Times New Roman" w:cs="Times New Roman"/>
          <w:sz w:val="24"/>
          <w:szCs w:val="24"/>
        </w:rPr>
        <w:t xml:space="preserve"> 38 будинків підвищеної поверховості</w:t>
      </w:r>
      <w:r>
        <w:rPr>
          <w:rFonts w:ascii="Times New Roman" w:hAnsi="Times New Roman" w:cs="Times New Roman"/>
          <w:sz w:val="24"/>
          <w:szCs w:val="24"/>
        </w:rPr>
        <w:t>,</w:t>
      </w:r>
      <w:r w:rsidR="003E22F5" w:rsidRPr="003E22F5">
        <w:rPr>
          <w:rFonts w:ascii="Times New Roman" w:hAnsi="Times New Roman" w:cs="Times New Roman"/>
          <w:sz w:val="24"/>
          <w:szCs w:val="24"/>
        </w:rPr>
        <w:t xml:space="preserve"> обладнані ліфтами.</w:t>
      </w:r>
    </w:p>
    <w:p w:rsidR="003E22F5" w:rsidRDefault="003E22F5" w:rsidP="00A927A0">
      <w:pPr>
        <w:pStyle w:val="a7"/>
        <w:shd w:val="clear" w:color="auto" w:fill="auto"/>
        <w:spacing w:before="0" w:line="250" w:lineRule="exact"/>
        <w:ind w:left="20" w:right="20" w:firstLine="520"/>
        <w:jc w:val="both"/>
        <w:rPr>
          <w:rFonts w:ascii="Times New Roman" w:hAnsi="Times New Roman" w:cs="Times New Roman"/>
          <w:sz w:val="24"/>
          <w:szCs w:val="24"/>
        </w:rPr>
      </w:pPr>
      <w:r w:rsidRPr="00A927A0">
        <w:rPr>
          <w:rFonts w:ascii="Times New Roman" w:hAnsi="Times New Roman" w:cs="Times New Roman"/>
          <w:sz w:val="24"/>
          <w:szCs w:val="24"/>
        </w:rPr>
        <w:lastRenderedPageBreak/>
        <w:t>На теперішній час в громаді створено 34 ОСББ (1 об’єднання створено на основі житлово-будівельного кооперативу).</w:t>
      </w:r>
    </w:p>
    <w:p w:rsidR="00C731D7" w:rsidRPr="003E22F5" w:rsidRDefault="00C731D7" w:rsidP="00A927A0">
      <w:pPr>
        <w:pStyle w:val="a7"/>
        <w:shd w:val="clear" w:color="auto" w:fill="auto"/>
        <w:spacing w:before="0" w:line="250" w:lineRule="exact"/>
        <w:ind w:left="20" w:right="20" w:firstLine="520"/>
        <w:jc w:val="both"/>
        <w:rPr>
          <w:rFonts w:ascii="Times New Roman" w:hAnsi="Times New Roman" w:cs="Times New Roman"/>
          <w:sz w:val="24"/>
          <w:szCs w:val="24"/>
        </w:rPr>
      </w:pPr>
    </w:p>
    <w:p w:rsidR="003E22F5" w:rsidRPr="003E22F5" w:rsidRDefault="003E22F5" w:rsidP="003E22F5">
      <w:pPr>
        <w:jc w:val="both"/>
        <w:rPr>
          <w:rFonts w:ascii="Times New Roman" w:hAnsi="Times New Roman" w:cs="Times New Roman"/>
          <w:i/>
          <w:sz w:val="24"/>
          <w:szCs w:val="24"/>
        </w:rPr>
      </w:pPr>
      <w:r w:rsidRPr="003E22F5">
        <w:rPr>
          <w:rFonts w:ascii="Times New Roman" w:hAnsi="Times New Roman" w:cs="Times New Roman"/>
          <w:i/>
          <w:noProof/>
          <w:sz w:val="24"/>
          <w:szCs w:val="24"/>
          <w:lang w:val="ru-RU" w:eastAsia="ru-RU"/>
        </w:rPr>
        <w:drawing>
          <wp:inline distT="0" distB="0" distL="0" distR="0">
            <wp:extent cx="6145530" cy="2263140"/>
            <wp:effectExtent l="19050" t="0" r="7620" b="0"/>
            <wp:docPr id="17"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E22F5" w:rsidRDefault="003E22F5" w:rsidP="003E22F5">
      <w:pPr>
        <w:ind w:firstLine="708"/>
        <w:jc w:val="both"/>
        <w:rPr>
          <w:rFonts w:ascii="Times New Roman" w:hAnsi="Times New Roman" w:cs="Times New Roman"/>
          <w:b/>
          <w:sz w:val="20"/>
          <w:szCs w:val="20"/>
        </w:rPr>
      </w:pPr>
      <w:r w:rsidRPr="003E22F5">
        <w:rPr>
          <w:rFonts w:ascii="Times New Roman" w:hAnsi="Times New Roman" w:cs="Times New Roman"/>
          <w:b/>
          <w:sz w:val="20"/>
          <w:szCs w:val="20"/>
        </w:rPr>
        <w:t>Малюнок 2</w:t>
      </w:r>
      <w:r w:rsidR="00C731D7">
        <w:rPr>
          <w:rFonts w:ascii="Times New Roman" w:hAnsi="Times New Roman" w:cs="Times New Roman"/>
          <w:b/>
          <w:sz w:val="20"/>
          <w:szCs w:val="20"/>
        </w:rPr>
        <w:t>1.</w:t>
      </w:r>
      <w:r w:rsidRPr="003E22F5">
        <w:rPr>
          <w:rFonts w:ascii="Times New Roman" w:hAnsi="Times New Roman" w:cs="Times New Roman"/>
          <w:b/>
          <w:sz w:val="20"/>
          <w:szCs w:val="20"/>
        </w:rPr>
        <w:t xml:space="preserve"> Кількість об’єднаних співвласників багатоквартирних будинків (ОСББ), </w:t>
      </w:r>
      <w:r w:rsidR="00C731D7">
        <w:rPr>
          <w:rFonts w:ascii="Times New Roman" w:hAnsi="Times New Roman" w:cs="Times New Roman"/>
          <w:b/>
          <w:sz w:val="20"/>
          <w:szCs w:val="20"/>
        </w:rPr>
        <w:t>од</w:t>
      </w:r>
      <w:r w:rsidR="00616B82">
        <w:rPr>
          <w:rFonts w:ascii="Times New Roman" w:hAnsi="Times New Roman" w:cs="Times New Roman"/>
          <w:b/>
          <w:sz w:val="20"/>
          <w:szCs w:val="20"/>
        </w:rPr>
        <w:t>.</w:t>
      </w:r>
    </w:p>
    <w:p w:rsidR="00616B82" w:rsidRPr="003E22F5" w:rsidRDefault="00616B82" w:rsidP="00616B82">
      <w:pPr>
        <w:spacing w:after="0"/>
        <w:ind w:firstLine="709"/>
        <w:jc w:val="both"/>
        <w:rPr>
          <w:rFonts w:ascii="Times New Roman" w:hAnsi="Times New Roman" w:cs="Times New Roman"/>
          <w:sz w:val="24"/>
          <w:szCs w:val="24"/>
        </w:rPr>
      </w:pPr>
      <w:r w:rsidRPr="003E22F5">
        <w:rPr>
          <w:rFonts w:ascii="Times New Roman" w:hAnsi="Times New Roman" w:cs="Times New Roman"/>
          <w:sz w:val="24"/>
          <w:szCs w:val="24"/>
        </w:rPr>
        <w:t>Теплопостачання міста здійснюють 27 газових котелень загальною потужністю 149,3 МВт/</w:t>
      </w:r>
      <w:proofErr w:type="spellStart"/>
      <w:r w:rsidRPr="003E22F5">
        <w:rPr>
          <w:rFonts w:ascii="Times New Roman" w:hAnsi="Times New Roman" w:cs="Times New Roman"/>
          <w:sz w:val="24"/>
          <w:szCs w:val="24"/>
        </w:rPr>
        <w:t>год</w:t>
      </w:r>
      <w:proofErr w:type="spellEnd"/>
      <w:r w:rsidRPr="003E22F5">
        <w:rPr>
          <w:rFonts w:ascii="Times New Roman" w:hAnsi="Times New Roman" w:cs="Times New Roman"/>
          <w:sz w:val="24"/>
          <w:szCs w:val="24"/>
        </w:rPr>
        <w:t xml:space="preserve">, які опалюють 24 котельні, що </w:t>
      </w:r>
      <w:r w:rsidR="00B71AB5">
        <w:rPr>
          <w:rFonts w:ascii="Times New Roman" w:hAnsi="Times New Roman" w:cs="Times New Roman"/>
          <w:sz w:val="24"/>
          <w:szCs w:val="24"/>
        </w:rPr>
        <w:t>обслуговують об'єкти місцевих рад</w:t>
      </w:r>
      <w:r w:rsidRPr="003E22F5">
        <w:rPr>
          <w:rFonts w:ascii="Times New Roman" w:hAnsi="Times New Roman" w:cs="Times New Roman"/>
          <w:sz w:val="24"/>
          <w:szCs w:val="24"/>
        </w:rPr>
        <w:t xml:space="preserve"> потужністю – 145,7 МВт/</w:t>
      </w:r>
      <w:proofErr w:type="spellStart"/>
      <w:r w:rsidRPr="003E22F5">
        <w:rPr>
          <w:rFonts w:ascii="Times New Roman" w:hAnsi="Times New Roman" w:cs="Times New Roman"/>
          <w:sz w:val="24"/>
          <w:szCs w:val="24"/>
        </w:rPr>
        <w:t>год</w:t>
      </w:r>
      <w:proofErr w:type="spellEnd"/>
      <w:r w:rsidRPr="003E22F5">
        <w:rPr>
          <w:rFonts w:ascii="Times New Roman" w:hAnsi="Times New Roman" w:cs="Times New Roman"/>
          <w:sz w:val="24"/>
          <w:szCs w:val="24"/>
        </w:rPr>
        <w:t>, 3 котельні районних рад (</w:t>
      </w:r>
      <w:proofErr w:type="spellStart"/>
      <w:r w:rsidRPr="003E22F5">
        <w:rPr>
          <w:rFonts w:ascii="Times New Roman" w:hAnsi="Times New Roman" w:cs="Times New Roman"/>
          <w:sz w:val="24"/>
          <w:szCs w:val="24"/>
        </w:rPr>
        <w:t>кот</w:t>
      </w:r>
      <w:proofErr w:type="spellEnd"/>
      <w:r w:rsidRPr="003E22F5">
        <w:rPr>
          <w:rFonts w:ascii="Times New Roman" w:hAnsi="Times New Roman" w:cs="Times New Roman"/>
          <w:sz w:val="24"/>
          <w:szCs w:val="24"/>
        </w:rPr>
        <w:t xml:space="preserve">. СХТ, </w:t>
      </w:r>
      <w:proofErr w:type="spellStart"/>
      <w:r w:rsidRPr="003E22F5">
        <w:rPr>
          <w:rFonts w:ascii="Times New Roman" w:hAnsi="Times New Roman" w:cs="Times New Roman"/>
          <w:sz w:val="24"/>
          <w:szCs w:val="24"/>
        </w:rPr>
        <w:t>с.Заря</w:t>
      </w:r>
      <w:proofErr w:type="spellEnd"/>
      <w:r w:rsidRPr="003E22F5">
        <w:rPr>
          <w:rFonts w:ascii="Times New Roman" w:hAnsi="Times New Roman" w:cs="Times New Roman"/>
          <w:sz w:val="24"/>
          <w:szCs w:val="24"/>
        </w:rPr>
        <w:t>, Дорожня) потужністю – 3,7 МВт/</w:t>
      </w:r>
      <w:proofErr w:type="spellStart"/>
      <w:r w:rsidRPr="003E22F5">
        <w:rPr>
          <w:rFonts w:ascii="Times New Roman" w:hAnsi="Times New Roman" w:cs="Times New Roman"/>
          <w:sz w:val="24"/>
          <w:szCs w:val="24"/>
        </w:rPr>
        <w:t>год</w:t>
      </w:r>
      <w:proofErr w:type="spellEnd"/>
      <w:r w:rsidRPr="003E22F5">
        <w:rPr>
          <w:rFonts w:ascii="Times New Roman" w:hAnsi="Times New Roman" w:cs="Times New Roman"/>
          <w:sz w:val="24"/>
          <w:szCs w:val="24"/>
        </w:rPr>
        <w:t xml:space="preserve">,  теплових мереж в двотрубному обчисленні – </w:t>
      </w:r>
      <w:smartTag w:uri="urn:schemas-microsoft-com:office:smarttags" w:element="metricconverter">
        <w:smartTagPr>
          <w:attr w:name="ProductID" w:val="60,7 км"/>
        </w:smartTagPr>
        <w:r w:rsidRPr="003E22F5">
          <w:rPr>
            <w:rFonts w:ascii="Times New Roman" w:hAnsi="Times New Roman" w:cs="Times New Roman"/>
            <w:sz w:val="24"/>
            <w:szCs w:val="24"/>
          </w:rPr>
          <w:t>60,7 км</w:t>
        </w:r>
      </w:smartTag>
      <w:r w:rsidRPr="003E22F5">
        <w:rPr>
          <w:rFonts w:ascii="Times New Roman" w:hAnsi="Times New Roman" w:cs="Times New Roman"/>
          <w:sz w:val="24"/>
          <w:szCs w:val="24"/>
        </w:rPr>
        <w:t xml:space="preserve"> (</w:t>
      </w:r>
      <w:smartTag w:uri="urn:schemas-microsoft-com:office:smarttags" w:element="metricconverter">
        <w:smartTagPr>
          <w:attr w:name="ProductID" w:val="58,0 км"/>
        </w:smartTagPr>
        <w:r w:rsidRPr="003E22F5">
          <w:rPr>
            <w:rFonts w:ascii="Times New Roman" w:hAnsi="Times New Roman" w:cs="Times New Roman"/>
            <w:sz w:val="24"/>
            <w:szCs w:val="24"/>
          </w:rPr>
          <w:t>58,0 км</w:t>
        </w:r>
      </w:smartTag>
      <w:r w:rsidRPr="003E22F5">
        <w:rPr>
          <w:rFonts w:ascii="Times New Roman" w:hAnsi="Times New Roman" w:cs="Times New Roman"/>
          <w:sz w:val="24"/>
          <w:szCs w:val="24"/>
        </w:rPr>
        <w:t xml:space="preserve"> – тепломережі котелень по </w:t>
      </w:r>
      <w:r w:rsidR="00B71AB5">
        <w:rPr>
          <w:rFonts w:ascii="Times New Roman" w:hAnsi="Times New Roman" w:cs="Times New Roman"/>
          <w:sz w:val="24"/>
          <w:szCs w:val="24"/>
        </w:rPr>
        <w:t xml:space="preserve">          </w:t>
      </w:r>
      <w:r w:rsidRPr="003E22F5">
        <w:rPr>
          <w:rFonts w:ascii="Times New Roman" w:hAnsi="Times New Roman" w:cs="Times New Roman"/>
          <w:sz w:val="24"/>
          <w:szCs w:val="24"/>
        </w:rPr>
        <w:t xml:space="preserve">м. Костянтинівка, </w:t>
      </w:r>
      <w:smartTag w:uri="urn:schemas-microsoft-com:office:smarttags" w:element="metricconverter">
        <w:smartTagPr>
          <w:attr w:name="ProductID" w:val="2,7 км"/>
        </w:smartTagPr>
        <w:r w:rsidRPr="003E22F5">
          <w:rPr>
            <w:rFonts w:ascii="Times New Roman" w:hAnsi="Times New Roman" w:cs="Times New Roman"/>
            <w:sz w:val="24"/>
            <w:szCs w:val="24"/>
          </w:rPr>
          <w:t>2,7 км</w:t>
        </w:r>
      </w:smartTag>
      <w:r w:rsidRPr="003E22F5">
        <w:rPr>
          <w:rFonts w:ascii="Times New Roman" w:hAnsi="Times New Roman" w:cs="Times New Roman"/>
          <w:sz w:val="24"/>
          <w:szCs w:val="24"/>
        </w:rPr>
        <w:t xml:space="preserve">  тепломережі районних котелень). </w:t>
      </w:r>
    </w:p>
    <w:p w:rsidR="00616B82" w:rsidRPr="003E22F5" w:rsidRDefault="00616B82" w:rsidP="00616B82">
      <w:pPr>
        <w:spacing w:after="0"/>
        <w:ind w:firstLine="709"/>
        <w:jc w:val="both"/>
        <w:rPr>
          <w:rFonts w:ascii="Times New Roman" w:hAnsi="Times New Roman" w:cs="Times New Roman"/>
          <w:sz w:val="24"/>
          <w:szCs w:val="24"/>
        </w:rPr>
      </w:pPr>
      <w:r w:rsidRPr="003E22F5">
        <w:rPr>
          <w:rFonts w:ascii="Times New Roman" w:hAnsi="Times New Roman" w:cs="Times New Roman"/>
          <w:sz w:val="24"/>
          <w:szCs w:val="24"/>
        </w:rPr>
        <w:t>ВО «</w:t>
      </w:r>
      <w:r w:rsidRPr="003E22F5">
        <w:rPr>
          <w:rFonts w:ascii="Times New Roman" w:hAnsi="Times New Roman" w:cs="Times New Roman"/>
          <w:bCs/>
          <w:sz w:val="24"/>
          <w:szCs w:val="24"/>
        </w:rPr>
        <w:t>Костянтинівкатепломережа</w:t>
      </w:r>
      <w:r w:rsidRPr="003E22F5">
        <w:rPr>
          <w:rFonts w:ascii="Times New Roman" w:hAnsi="Times New Roman" w:cs="Times New Roman"/>
          <w:sz w:val="24"/>
          <w:szCs w:val="24"/>
        </w:rPr>
        <w:t xml:space="preserve">» </w:t>
      </w:r>
      <w:r w:rsidR="00B71AB5">
        <w:rPr>
          <w:rFonts w:ascii="Times New Roman" w:hAnsi="Times New Roman" w:cs="Times New Roman"/>
          <w:sz w:val="24"/>
          <w:szCs w:val="24"/>
        </w:rPr>
        <w:t>забезпечу</w:t>
      </w:r>
      <w:r w:rsidRPr="003E22F5">
        <w:rPr>
          <w:rFonts w:ascii="Times New Roman" w:hAnsi="Times New Roman" w:cs="Times New Roman"/>
          <w:sz w:val="24"/>
          <w:szCs w:val="24"/>
        </w:rPr>
        <w:t>є тепло</w:t>
      </w:r>
      <w:r w:rsidR="00B71AB5">
        <w:rPr>
          <w:rFonts w:ascii="Times New Roman" w:hAnsi="Times New Roman" w:cs="Times New Roman"/>
          <w:sz w:val="24"/>
          <w:szCs w:val="24"/>
        </w:rPr>
        <w:t>м на 488 об'єктів</w:t>
      </w:r>
      <w:r w:rsidRPr="003E22F5">
        <w:rPr>
          <w:rFonts w:ascii="Times New Roman" w:hAnsi="Times New Roman" w:cs="Times New Roman"/>
          <w:sz w:val="24"/>
          <w:szCs w:val="24"/>
        </w:rPr>
        <w:t xml:space="preserve">, у т.ч. 420 житлових будинків, 13 шкіл, 13 дошкільних </w:t>
      </w:r>
      <w:r w:rsidR="00B71AB5">
        <w:rPr>
          <w:rFonts w:ascii="Times New Roman" w:hAnsi="Times New Roman" w:cs="Times New Roman"/>
          <w:sz w:val="24"/>
          <w:szCs w:val="24"/>
        </w:rPr>
        <w:t>навчальних закладів, 8 лікарень та</w:t>
      </w:r>
      <w:r w:rsidRPr="003E22F5">
        <w:rPr>
          <w:rFonts w:ascii="Times New Roman" w:hAnsi="Times New Roman" w:cs="Times New Roman"/>
          <w:sz w:val="24"/>
          <w:szCs w:val="24"/>
        </w:rPr>
        <w:t xml:space="preserve"> інші об’єкти.</w:t>
      </w:r>
    </w:p>
    <w:p w:rsidR="00616B82" w:rsidRPr="003E22F5" w:rsidRDefault="00616B82" w:rsidP="00616B82">
      <w:pPr>
        <w:spacing w:after="0"/>
        <w:ind w:firstLine="709"/>
        <w:jc w:val="both"/>
        <w:rPr>
          <w:rFonts w:ascii="Times New Roman" w:hAnsi="Times New Roman" w:cs="Times New Roman"/>
          <w:sz w:val="24"/>
          <w:szCs w:val="24"/>
        </w:rPr>
      </w:pPr>
      <w:r w:rsidRPr="003E22F5">
        <w:rPr>
          <w:rFonts w:ascii="Times New Roman" w:hAnsi="Times New Roman" w:cs="Times New Roman"/>
          <w:sz w:val="24"/>
          <w:szCs w:val="24"/>
        </w:rPr>
        <w:t>Вузлами обліку теплової енергії оснащено 10 житлових будинків та 68 нежитлових будівель.</w:t>
      </w:r>
    </w:p>
    <w:p w:rsidR="00616B82" w:rsidRPr="003E22F5" w:rsidRDefault="00B71AB5" w:rsidP="00616B82">
      <w:pPr>
        <w:spacing w:after="0"/>
        <w:ind w:firstLine="709"/>
        <w:jc w:val="both"/>
        <w:rPr>
          <w:rFonts w:ascii="Times New Roman" w:hAnsi="Times New Roman" w:cs="Times New Roman"/>
          <w:sz w:val="24"/>
          <w:szCs w:val="24"/>
        </w:rPr>
      </w:pPr>
      <w:r>
        <w:rPr>
          <w:rFonts w:ascii="Times New Roman" w:hAnsi="Times New Roman" w:cs="Times New Roman"/>
          <w:sz w:val="24"/>
          <w:szCs w:val="24"/>
        </w:rPr>
        <w:t>Костянтинівській громаді</w:t>
      </w:r>
      <w:r w:rsidR="00616B82" w:rsidRPr="003E22F5">
        <w:rPr>
          <w:rFonts w:ascii="Times New Roman" w:hAnsi="Times New Roman" w:cs="Times New Roman"/>
          <w:sz w:val="24"/>
          <w:szCs w:val="24"/>
        </w:rPr>
        <w:t xml:space="preserve"> послуги з централізованого водопостачання та водовідведення надає Костянтинівське виробниче управління водопровідно-каналізаційного господарс</w:t>
      </w:r>
      <w:r>
        <w:rPr>
          <w:rFonts w:ascii="Times New Roman" w:hAnsi="Times New Roman" w:cs="Times New Roman"/>
          <w:sz w:val="24"/>
          <w:szCs w:val="24"/>
        </w:rPr>
        <w:t>тва КП «Компанія «Вода Донбасу»</w:t>
      </w:r>
      <w:r w:rsidR="00616B82" w:rsidRPr="003E22F5">
        <w:rPr>
          <w:rFonts w:ascii="Times New Roman" w:hAnsi="Times New Roman" w:cs="Times New Roman"/>
          <w:sz w:val="24"/>
          <w:szCs w:val="24"/>
        </w:rPr>
        <w:t xml:space="preserve">. </w:t>
      </w:r>
    </w:p>
    <w:p w:rsidR="00616B82" w:rsidRPr="003E22F5" w:rsidRDefault="00616B82" w:rsidP="00616B82">
      <w:pPr>
        <w:spacing w:after="0"/>
        <w:ind w:firstLine="709"/>
        <w:jc w:val="both"/>
        <w:rPr>
          <w:rFonts w:ascii="Times New Roman" w:hAnsi="Times New Roman" w:cs="Times New Roman"/>
          <w:sz w:val="24"/>
          <w:szCs w:val="24"/>
        </w:rPr>
      </w:pPr>
      <w:r w:rsidRPr="003E22F5">
        <w:rPr>
          <w:rFonts w:ascii="Times New Roman" w:hAnsi="Times New Roman" w:cs="Times New Roman"/>
          <w:sz w:val="24"/>
          <w:szCs w:val="24"/>
        </w:rPr>
        <w:t>Загальна протяжність водопровідних мереж складає 542,4 км, з яких зн</w:t>
      </w:r>
      <w:r w:rsidR="00B71AB5">
        <w:rPr>
          <w:rFonts w:ascii="Times New Roman" w:hAnsi="Times New Roman" w:cs="Times New Roman"/>
          <w:sz w:val="24"/>
          <w:szCs w:val="24"/>
        </w:rPr>
        <w:t>аходяться в аварійному стані та</w:t>
      </w:r>
      <w:r w:rsidRPr="003E22F5">
        <w:rPr>
          <w:rFonts w:ascii="Times New Roman" w:hAnsi="Times New Roman" w:cs="Times New Roman"/>
          <w:sz w:val="24"/>
          <w:szCs w:val="24"/>
        </w:rPr>
        <w:t xml:space="preserve"> потребують заміни – 320,0 км (59%).</w:t>
      </w:r>
    </w:p>
    <w:p w:rsidR="00616B82" w:rsidRPr="003E22F5" w:rsidRDefault="00616B82" w:rsidP="00616B82">
      <w:pPr>
        <w:spacing w:after="0"/>
        <w:ind w:firstLine="709"/>
        <w:jc w:val="both"/>
        <w:rPr>
          <w:rFonts w:ascii="Times New Roman" w:hAnsi="Times New Roman" w:cs="Times New Roman"/>
          <w:sz w:val="24"/>
          <w:szCs w:val="24"/>
        </w:rPr>
      </w:pPr>
      <w:r w:rsidRPr="003E22F5">
        <w:rPr>
          <w:rFonts w:ascii="Times New Roman" w:hAnsi="Times New Roman" w:cs="Times New Roman"/>
          <w:sz w:val="24"/>
          <w:szCs w:val="24"/>
        </w:rPr>
        <w:t>Загальна протяжність каналізаційних мереж складає 146,77 км, з яких знаходяться в аварійному стані та потребують заміни – 98,98 км (83,45%)</w:t>
      </w:r>
    </w:p>
    <w:p w:rsidR="00616B82" w:rsidRDefault="00616B82" w:rsidP="00616B82">
      <w:pPr>
        <w:pStyle w:val="212"/>
        <w:spacing w:after="0" w:line="276" w:lineRule="auto"/>
        <w:ind w:left="0" w:firstLine="709"/>
        <w:jc w:val="both"/>
        <w:rPr>
          <w:rFonts w:ascii="Times New Roman" w:hAnsi="Times New Roman" w:cs="Times New Roman"/>
        </w:rPr>
      </w:pPr>
      <w:r w:rsidRPr="003E22F5">
        <w:rPr>
          <w:rFonts w:ascii="Times New Roman" w:hAnsi="Times New Roman" w:cs="Times New Roman"/>
          <w:shd w:val="clear" w:color="auto" w:fill="FFFFFA"/>
        </w:rPr>
        <w:t xml:space="preserve">Послуги з прибирання та підмітання вулиць включають в себе механізоване та ручне прибирання проїзних частин та тротуарів вулиць (провулків, в’їздів, проїздів), зупинок та інших об’єктів </w:t>
      </w:r>
      <w:r w:rsidRPr="003E22F5">
        <w:rPr>
          <w:rFonts w:ascii="Times New Roman" w:hAnsi="Times New Roman" w:cs="Times New Roman"/>
        </w:rPr>
        <w:t xml:space="preserve">неодноразово на місяць. Площа прибирання складає 94,2 тис. кв. м та охоплює </w:t>
      </w:r>
      <w:r w:rsidR="00B71AB5">
        <w:rPr>
          <w:rFonts w:ascii="Times New Roman" w:hAnsi="Times New Roman" w:cs="Times New Roman"/>
        </w:rPr>
        <w:t xml:space="preserve">                  </w:t>
      </w:r>
      <w:r w:rsidRPr="003E22F5">
        <w:rPr>
          <w:rFonts w:ascii="Times New Roman" w:hAnsi="Times New Roman" w:cs="Times New Roman"/>
        </w:rPr>
        <w:t>22 об'єкта благоустрою (вулиці, проспекти, провулки та ін.).</w:t>
      </w:r>
    </w:p>
    <w:p w:rsidR="00616B82" w:rsidRDefault="00616B82" w:rsidP="00616B82">
      <w:pPr>
        <w:spacing w:after="0"/>
        <w:ind w:firstLine="708"/>
        <w:jc w:val="both"/>
        <w:rPr>
          <w:rFonts w:ascii="Times New Roman" w:hAnsi="Times New Roman" w:cs="Times New Roman"/>
          <w:b/>
          <w:sz w:val="20"/>
          <w:szCs w:val="20"/>
        </w:rPr>
      </w:pPr>
    </w:p>
    <w:p w:rsidR="003E22F5" w:rsidRDefault="003E22F5" w:rsidP="003E22F5">
      <w:pPr>
        <w:jc w:val="both"/>
        <w:rPr>
          <w:rFonts w:ascii="Times New Roman" w:hAnsi="Times New Roman" w:cs="Times New Roman"/>
          <w:sz w:val="24"/>
          <w:szCs w:val="24"/>
        </w:rPr>
      </w:pPr>
      <w:r w:rsidRPr="003E22F5">
        <w:rPr>
          <w:rFonts w:ascii="Times New Roman" w:hAnsi="Times New Roman" w:cs="Times New Roman"/>
          <w:noProof/>
          <w:sz w:val="24"/>
          <w:szCs w:val="24"/>
          <w:lang w:val="ru-RU" w:eastAsia="ru-RU"/>
        </w:rPr>
        <w:lastRenderedPageBreak/>
        <w:drawing>
          <wp:inline distT="0" distB="0" distL="0" distR="0">
            <wp:extent cx="6438265" cy="2369820"/>
            <wp:effectExtent l="19050" t="0" r="635" b="0"/>
            <wp:docPr id="16"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E22F5" w:rsidRPr="003E22F5" w:rsidRDefault="003E22F5" w:rsidP="003E22F5">
      <w:pPr>
        <w:jc w:val="center"/>
        <w:rPr>
          <w:rFonts w:ascii="Times New Roman" w:hAnsi="Times New Roman" w:cs="Times New Roman"/>
          <w:b/>
          <w:sz w:val="20"/>
          <w:szCs w:val="20"/>
        </w:rPr>
      </w:pPr>
      <w:r w:rsidRPr="003E22F5">
        <w:rPr>
          <w:rFonts w:ascii="Times New Roman" w:hAnsi="Times New Roman" w:cs="Times New Roman"/>
          <w:b/>
          <w:sz w:val="20"/>
          <w:szCs w:val="20"/>
        </w:rPr>
        <w:t>Малюнок 22</w:t>
      </w:r>
      <w:r w:rsidR="00B71AB5">
        <w:rPr>
          <w:rFonts w:ascii="Times New Roman" w:hAnsi="Times New Roman" w:cs="Times New Roman"/>
          <w:b/>
          <w:sz w:val="20"/>
          <w:szCs w:val="20"/>
        </w:rPr>
        <w:t>.</w:t>
      </w:r>
      <w:r w:rsidRPr="003E22F5">
        <w:rPr>
          <w:rFonts w:ascii="Times New Roman" w:hAnsi="Times New Roman" w:cs="Times New Roman"/>
          <w:b/>
          <w:sz w:val="20"/>
          <w:szCs w:val="20"/>
        </w:rPr>
        <w:t xml:space="preserve"> Рівень оплати житлово-комунальних послуг населення, %</w:t>
      </w:r>
    </w:p>
    <w:p w:rsidR="00616B82" w:rsidRDefault="00616B82" w:rsidP="00616B82">
      <w:pPr>
        <w:ind w:firstLine="567"/>
        <w:jc w:val="both"/>
        <w:rPr>
          <w:rFonts w:ascii="Times New Roman" w:hAnsi="Times New Roman" w:cs="Times New Roman"/>
          <w:sz w:val="24"/>
          <w:szCs w:val="24"/>
        </w:rPr>
      </w:pPr>
      <w:r w:rsidRPr="00616B82">
        <w:rPr>
          <w:rFonts w:ascii="Times New Roman" w:hAnsi="Times New Roman" w:cs="Times New Roman"/>
          <w:sz w:val="24"/>
          <w:szCs w:val="24"/>
        </w:rPr>
        <w:t>Підприємствами комунальної сфери постійно проводиться робота по зменшенню заборгованості за житлово-комунальні послуги населенням, ведеться претензійно-позовна робота.</w:t>
      </w:r>
    </w:p>
    <w:p w:rsidR="009F5251" w:rsidRPr="00B71AB5" w:rsidRDefault="00B71AB5" w:rsidP="009F5251">
      <w:pPr>
        <w:pStyle w:val="32"/>
        <w:keepNext/>
        <w:keepLines/>
        <w:shd w:val="clear" w:color="auto" w:fill="auto"/>
        <w:spacing w:before="0" w:after="60" w:line="270" w:lineRule="exact"/>
        <w:ind w:left="3900"/>
        <w:rPr>
          <w:sz w:val="28"/>
          <w:szCs w:val="28"/>
        </w:rPr>
      </w:pPr>
      <w:bookmarkStart w:id="31" w:name="bookmark55"/>
      <w:r w:rsidRPr="00B71AB5">
        <w:rPr>
          <w:sz w:val="28"/>
          <w:szCs w:val="28"/>
        </w:rPr>
        <w:t>1.7.</w:t>
      </w:r>
      <w:r w:rsidR="009F5251" w:rsidRPr="00B71AB5">
        <w:rPr>
          <w:sz w:val="28"/>
          <w:szCs w:val="28"/>
        </w:rPr>
        <w:t xml:space="preserve"> Бюджет</w:t>
      </w:r>
      <w:bookmarkEnd w:id="31"/>
    </w:p>
    <w:p w:rsidR="00616B82" w:rsidRPr="009F5251" w:rsidRDefault="00485D94" w:rsidP="00616B82">
      <w:pPr>
        <w:ind w:firstLine="567"/>
        <w:jc w:val="both"/>
        <w:rPr>
          <w:rFonts w:ascii="Times New Roman" w:hAnsi="Times New Roman" w:cs="Times New Roman"/>
          <w:sz w:val="24"/>
          <w:szCs w:val="24"/>
        </w:rPr>
      </w:pPr>
      <w:r>
        <w:rPr>
          <w:rFonts w:ascii="Times New Roman" w:hAnsi="Times New Roman" w:cs="Times New Roman"/>
          <w:sz w:val="24"/>
          <w:szCs w:val="24"/>
        </w:rPr>
        <w:t>До моменту створення Костянтин</w:t>
      </w:r>
      <w:r w:rsidR="009F5251" w:rsidRPr="009F5251">
        <w:rPr>
          <w:rFonts w:ascii="Times New Roman" w:hAnsi="Times New Roman" w:cs="Times New Roman"/>
          <w:sz w:val="24"/>
          <w:szCs w:val="24"/>
        </w:rPr>
        <w:t>івської міської територіальної громади, кожна місь</w:t>
      </w:r>
      <w:r>
        <w:rPr>
          <w:rFonts w:ascii="Times New Roman" w:hAnsi="Times New Roman" w:cs="Times New Roman"/>
          <w:sz w:val="24"/>
          <w:szCs w:val="24"/>
        </w:rPr>
        <w:t>ка, селищна та сільська рада мала</w:t>
      </w:r>
      <w:r w:rsidR="009F5251" w:rsidRPr="009F5251">
        <w:rPr>
          <w:rFonts w:ascii="Times New Roman" w:hAnsi="Times New Roman" w:cs="Times New Roman"/>
          <w:sz w:val="24"/>
          <w:szCs w:val="24"/>
        </w:rPr>
        <w:t xml:space="preserve"> свій окремий бюджет. Доходна частина загального фонду селищних та сільських бюджетів складалася з доходів, передбачених ст. 69 Бюджетного Кодексу України, а саме: податок на прибуток підприємств та фінансових установ комунальної власності (зараховується в повному обсязі); рентна плата за користування надрами для видобування корисних копалин місцевого значення (зараховується в обсязі 1%); рентна плата за спеціальне використання лісових ресурсів (зараховується в повному обсязі); податок на майно, який включає до себе податок на нерухоме майно, відмінне від земельної ділянки, плату за </w:t>
      </w:r>
      <w:r w:rsidR="00B71AB5">
        <w:rPr>
          <w:rFonts w:ascii="Times New Roman" w:hAnsi="Times New Roman" w:cs="Times New Roman"/>
          <w:sz w:val="24"/>
          <w:szCs w:val="24"/>
        </w:rPr>
        <w:t>землю та транспортний податок (</w:t>
      </w:r>
      <w:r w:rsidR="009F5251" w:rsidRPr="009F5251">
        <w:rPr>
          <w:rFonts w:ascii="Times New Roman" w:hAnsi="Times New Roman" w:cs="Times New Roman"/>
          <w:sz w:val="24"/>
          <w:szCs w:val="24"/>
        </w:rPr>
        <w:t xml:space="preserve">зараховується в повному обсязі); єдиний податок </w:t>
      </w:r>
      <w:r w:rsidR="00197A56">
        <w:rPr>
          <w:rFonts w:ascii="Times New Roman" w:hAnsi="Times New Roman" w:cs="Times New Roman"/>
          <w:sz w:val="24"/>
          <w:szCs w:val="24"/>
        </w:rPr>
        <w:t xml:space="preserve">                        (</w:t>
      </w:r>
      <w:r w:rsidR="009F5251" w:rsidRPr="009F5251">
        <w:rPr>
          <w:rFonts w:ascii="Times New Roman" w:hAnsi="Times New Roman" w:cs="Times New Roman"/>
          <w:sz w:val="24"/>
          <w:szCs w:val="24"/>
        </w:rPr>
        <w:t>зараховується в повному обсязі); збір за місця для паркування транспортних засобів (зараховується у повному обсязі); туристичний збір (зараховується в повному обсязі); адміністративні штрафи, що накладаються місцевими органами виконавчої влади та виконавчими органами місцевих рад (зараховується в повному обсязі); надходження від орендної плати за користування майновим комплексом та іншим майном, що перебуває в комунальній власності, замовником яких є селищні та сільські ради (зараховується в повному обсязі), плата за надання інших адміністративних послуг, що справляється за місцем надання послуг (зара</w:t>
      </w:r>
      <w:r w:rsidR="00686A41">
        <w:rPr>
          <w:rFonts w:ascii="Times New Roman" w:hAnsi="Times New Roman" w:cs="Times New Roman"/>
          <w:sz w:val="24"/>
          <w:szCs w:val="24"/>
        </w:rPr>
        <w:t>ховує</w:t>
      </w:r>
      <w:r w:rsidR="009F5251" w:rsidRPr="009F5251">
        <w:rPr>
          <w:rFonts w:ascii="Times New Roman" w:hAnsi="Times New Roman" w:cs="Times New Roman"/>
          <w:sz w:val="24"/>
          <w:szCs w:val="24"/>
        </w:rPr>
        <w:t>ться частина коштів, визначені як плата за надання адміністративних послуг), державне мито, що зараховується до бюджетів місцевого самоврядування за місцем вчинення дій та видачі документів (зараховується в повному обсязі), акцизний податок з реалізації суб'єктами господарювання роздрібної торгівлі підакцизних товарів, адміністративні збори та платежі, доходи від некомерційної господ</w:t>
      </w:r>
      <w:r w:rsidR="00686A41">
        <w:rPr>
          <w:rFonts w:ascii="Times New Roman" w:hAnsi="Times New Roman" w:cs="Times New Roman"/>
          <w:sz w:val="24"/>
          <w:szCs w:val="24"/>
        </w:rPr>
        <w:t>арської діяльності ( згідно ст.</w:t>
      </w:r>
      <w:r w:rsidR="009F5251" w:rsidRPr="009F5251">
        <w:rPr>
          <w:rFonts w:ascii="Times New Roman" w:hAnsi="Times New Roman" w:cs="Times New Roman"/>
          <w:sz w:val="24"/>
          <w:szCs w:val="24"/>
        </w:rPr>
        <w:t>69 п.20.5, 20.6), інші доходи, що підлягають зарахуванню до сільських, селищних бюджетів відповідно до законодавства.</w:t>
      </w:r>
    </w:p>
    <w:p w:rsidR="009F5251" w:rsidRDefault="00485D94" w:rsidP="00616B82">
      <w:pPr>
        <w:ind w:firstLine="567"/>
        <w:jc w:val="both"/>
        <w:rPr>
          <w:rFonts w:ascii="Times New Roman" w:hAnsi="Times New Roman" w:cs="Times New Roman"/>
          <w:sz w:val="24"/>
          <w:szCs w:val="24"/>
        </w:rPr>
      </w:pPr>
      <w:r>
        <w:rPr>
          <w:rFonts w:ascii="Times New Roman" w:hAnsi="Times New Roman" w:cs="Times New Roman"/>
          <w:sz w:val="24"/>
          <w:szCs w:val="24"/>
        </w:rPr>
        <w:t>У випадку з Костянтин</w:t>
      </w:r>
      <w:r w:rsidR="009F5251" w:rsidRPr="009F5251">
        <w:rPr>
          <w:rFonts w:ascii="Times New Roman" w:hAnsi="Times New Roman" w:cs="Times New Roman"/>
          <w:sz w:val="24"/>
          <w:szCs w:val="24"/>
        </w:rPr>
        <w:t>івською територіальною громадою, значних змін в доходній частині бюджету не відбулося. Враховуючи, що більшість роботодавців розміщені саме на території міста, після приєднання сіл і селищ, ріст за такими статтями, як ПДФО, акциз, податок на майно тощо, хоча і відбувся, але був не суттєвим. Для цього достатньо поглянути на наведений нижче графік.</w:t>
      </w:r>
    </w:p>
    <w:p w:rsidR="00485D94" w:rsidRDefault="00485D94" w:rsidP="00616B82">
      <w:pPr>
        <w:ind w:firstLine="567"/>
        <w:jc w:val="both"/>
        <w:rPr>
          <w:rFonts w:ascii="Times New Roman" w:hAnsi="Times New Roman" w:cs="Times New Roman"/>
          <w:sz w:val="24"/>
          <w:szCs w:val="24"/>
        </w:rPr>
      </w:pPr>
      <w:r w:rsidRPr="00485D94">
        <w:rPr>
          <w:rFonts w:ascii="Times New Roman" w:hAnsi="Times New Roman" w:cs="Times New Roman"/>
          <w:noProof/>
          <w:sz w:val="24"/>
          <w:szCs w:val="24"/>
          <w:lang w:val="ru-RU" w:eastAsia="ru-RU"/>
        </w:rPr>
        <w:lastRenderedPageBreak/>
        <w:drawing>
          <wp:inline distT="0" distB="0" distL="0" distR="0">
            <wp:extent cx="5596890" cy="3299460"/>
            <wp:effectExtent l="19050" t="0" r="22860" b="0"/>
            <wp:docPr id="1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85D94" w:rsidRDefault="00485D94" w:rsidP="00603C9A">
      <w:pPr>
        <w:ind w:firstLine="567"/>
        <w:jc w:val="center"/>
        <w:rPr>
          <w:rFonts w:ascii="Times New Roman" w:hAnsi="Times New Roman" w:cs="Times New Roman"/>
          <w:b/>
          <w:sz w:val="20"/>
          <w:szCs w:val="20"/>
        </w:rPr>
      </w:pPr>
      <w:r w:rsidRPr="00603C9A">
        <w:rPr>
          <w:rFonts w:ascii="Times New Roman" w:hAnsi="Times New Roman" w:cs="Times New Roman"/>
          <w:b/>
          <w:sz w:val="20"/>
          <w:szCs w:val="20"/>
        </w:rPr>
        <w:t>Малюнок 23</w:t>
      </w:r>
      <w:r w:rsidR="00686A41">
        <w:rPr>
          <w:rFonts w:ascii="Times New Roman" w:hAnsi="Times New Roman" w:cs="Times New Roman"/>
          <w:b/>
          <w:sz w:val="20"/>
          <w:szCs w:val="20"/>
        </w:rPr>
        <w:t>.</w:t>
      </w:r>
      <w:r w:rsidRPr="00603C9A">
        <w:rPr>
          <w:rFonts w:ascii="Times New Roman" w:hAnsi="Times New Roman" w:cs="Times New Roman"/>
          <w:b/>
          <w:sz w:val="20"/>
          <w:szCs w:val="20"/>
        </w:rPr>
        <w:t xml:space="preserve"> Доходи бюджету Костянтинівської </w:t>
      </w:r>
      <w:r w:rsidR="00686A41">
        <w:rPr>
          <w:rFonts w:ascii="Times New Roman" w:hAnsi="Times New Roman" w:cs="Times New Roman"/>
          <w:b/>
          <w:sz w:val="20"/>
          <w:szCs w:val="20"/>
        </w:rPr>
        <w:t xml:space="preserve">міської </w:t>
      </w:r>
      <w:r w:rsidRPr="00603C9A">
        <w:rPr>
          <w:rFonts w:ascii="Times New Roman" w:hAnsi="Times New Roman" w:cs="Times New Roman"/>
          <w:b/>
          <w:sz w:val="20"/>
          <w:szCs w:val="20"/>
        </w:rPr>
        <w:t xml:space="preserve">територіальної громади, </w:t>
      </w:r>
      <w:r w:rsidR="00603C9A" w:rsidRPr="00603C9A">
        <w:rPr>
          <w:rFonts w:ascii="Times New Roman" w:hAnsi="Times New Roman" w:cs="Times New Roman"/>
          <w:b/>
          <w:sz w:val="20"/>
          <w:szCs w:val="20"/>
        </w:rPr>
        <w:t>млн. грн..</w:t>
      </w:r>
    </w:p>
    <w:p w:rsidR="00686A41" w:rsidRDefault="00686A41" w:rsidP="00603C9A">
      <w:pPr>
        <w:ind w:firstLine="567"/>
        <w:jc w:val="center"/>
        <w:rPr>
          <w:rFonts w:ascii="Times New Roman" w:hAnsi="Times New Roman" w:cs="Times New Roman"/>
          <w:b/>
          <w:sz w:val="20"/>
          <w:szCs w:val="20"/>
        </w:rPr>
      </w:pPr>
    </w:p>
    <w:p w:rsidR="00603C9A" w:rsidRDefault="00603C9A" w:rsidP="00603C9A">
      <w:pPr>
        <w:ind w:firstLine="567"/>
        <w:rPr>
          <w:rFonts w:ascii="Times New Roman" w:hAnsi="Times New Roman" w:cs="Times New Roman"/>
          <w:b/>
          <w:sz w:val="20"/>
          <w:szCs w:val="20"/>
        </w:rPr>
      </w:pPr>
      <w:r w:rsidRPr="00603C9A">
        <w:rPr>
          <w:rFonts w:ascii="Times New Roman" w:hAnsi="Times New Roman" w:cs="Times New Roman"/>
          <w:b/>
          <w:noProof/>
          <w:sz w:val="20"/>
          <w:szCs w:val="20"/>
          <w:lang w:val="ru-RU" w:eastAsia="ru-RU"/>
        </w:rPr>
        <w:drawing>
          <wp:inline distT="0" distB="0" distL="0" distR="0">
            <wp:extent cx="5337810" cy="2202180"/>
            <wp:effectExtent l="19050" t="0" r="15240" b="7620"/>
            <wp:docPr id="1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03C9A" w:rsidRDefault="00603C9A" w:rsidP="00603C9A">
      <w:pPr>
        <w:ind w:firstLine="567"/>
        <w:rPr>
          <w:rFonts w:ascii="Times New Roman" w:hAnsi="Times New Roman" w:cs="Times New Roman"/>
          <w:b/>
          <w:sz w:val="20"/>
          <w:szCs w:val="20"/>
        </w:rPr>
      </w:pPr>
      <w:r>
        <w:rPr>
          <w:rFonts w:ascii="Times New Roman" w:hAnsi="Times New Roman" w:cs="Times New Roman"/>
          <w:b/>
          <w:sz w:val="20"/>
          <w:szCs w:val="20"/>
        </w:rPr>
        <w:t>Малюнок 24</w:t>
      </w:r>
      <w:r w:rsidR="00686A41">
        <w:rPr>
          <w:rFonts w:ascii="Times New Roman" w:hAnsi="Times New Roman" w:cs="Times New Roman"/>
          <w:b/>
          <w:sz w:val="20"/>
          <w:szCs w:val="20"/>
        </w:rPr>
        <w:t>.</w:t>
      </w:r>
      <w:r>
        <w:rPr>
          <w:rFonts w:ascii="Times New Roman" w:hAnsi="Times New Roman" w:cs="Times New Roman"/>
          <w:b/>
          <w:sz w:val="20"/>
          <w:szCs w:val="20"/>
        </w:rPr>
        <w:t xml:space="preserve"> Видатки бюджету Костянтинівської </w:t>
      </w:r>
      <w:r w:rsidR="00686A41">
        <w:rPr>
          <w:rFonts w:ascii="Times New Roman" w:hAnsi="Times New Roman" w:cs="Times New Roman"/>
          <w:b/>
          <w:sz w:val="20"/>
          <w:szCs w:val="20"/>
        </w:rPr>
        <w:t xml:space="preserve">міської </w:t>
      </w:r>
      <w:r>
        <w:rPr>
          <w:rFonts w:ascii="Times New Roman" w:hAnsi="Times New Roman" w:cs="Times New Roman"/>
          <w:b/>
          <w:sz w:val="20"/>
          <w:szCs w:val="20"/>
        </w:rPr>
        <w:t>територіальної громади, млн. грн.</w:t>
      </w:r>
    </w:p>
    <w:p w:rsidR="00686A41" w:rsidRDefault="00686A41" w:rsidP="00686A41">
      <w:pPr>
        <w:pStyle w:val="a7"/>
        <w:shd w:val="clear" w:color="auto" w:fill="auto"/>
        <w:spacing w:before="0" w:line="276" w:lineRule="auto"/>
        <w:ind w:firstLine="567"/>
        <w:jc w:val="both"/>
        <w:rPr>
          <w:rFonts w:ascii="Times New Roman" w:hAnsi="Times New Roman" w:cs="Times New Roman"/>
          <w:sz w:val="24"/>
          <w:szCs w:val="24"/>
        </w:rPr>
      </w:pPr>
    </w:p>
    <w:p w:rsidR="00B13323" w:rsidRPr="00B13323" w:rsidRDefault="00B13323" w:rsidP="00686A41">
      <w:pPr>
        <w:pStyle w:val="a7"/>
        <w:shd w:val="clear" w:color="auto" w:fill="auto"/>
        <w:spacing w:before="0" w:line="276" w:lineRule="auto"/>
        <w:ind w:firstLine="567"/>
        <w:jc w:val="both"/>
        <w:rPr>
          <w:rFonts w:ascii="Times New Roman" w:hAnsi="Times New Roman" w:cs="Times New Roman"/>
          <w:sz w:val="24"/>
          <w:szCs w:val="24"/>
        </w:rPr>
      </w:pPr>
      <w:r w:rsidRPr="00B13323">
        <w:rPr>
          <w:rFonts w:ascii="Times New Roman" w:hAnsi="Times New Roman" w:cs="Times New Roman"/>
          <w:sz w:val="24"/>
          <w:szCs w:val="24"/>
        </w:rPr>
        <w:t>Як видно з діаграми, створення громади призвело до росту видатків на освіту. При цьому, в структурі цих видатків превалюють саме витрати на оплату праці працівників освітнього сектору</w:t>
      </w:r>
      <w:r w:rsidR="00686A41">
        <w:rPr>
          <w:rFonts w:ascii="Times New Roman" w:hAnsi="Times New Roman" w:cs="Times New Roman"/>
          <w:sz w:val="24"/>
          <w:szCs w:val="24"/>
        </w:rPr>
        <w:t>.</w:t>
      </w:r>
    </w:p>
    <w:p w:rsidR="00B13323" w:rsidRPr="00B13323" w:rsidRDefault="00B13323" w:rsidP="00686A41">
      <w:pPr>
        <w:pStyle w:val="a7"/>
        <w:shd w:val="clear" w:color="auto" w:fill="auto"/>
        <w:spacing w:before="0" w:after="0" w:line="276" w:lineRule="auto"/>
        <w:ind w:left="20" w:right="20" w:firstLine="547"/>
        <w:jc w:val="both"/>
        <w:rPr>
          <w:rFonts w:ascii="Times New Roman" w:hAnsi="Times New Roman" w:cs="Times New Roman"/>
          <w:sz w:val="24"/>
          <w:szCs w:val="24"/>
        </w:rPr>
      </w:pPr>
      <w:r w:rsidRPr="00B13323">
        <w:rPr>
          <w:rFonts w:ascii="Times New Roman" w:hAnsi="Times New Roman" w:cs="Times New Roman"/>
          <w:sz w:val="24"/>
          <w:szCs w:val="24"/>
        </w:rPr>
        <w:t xml:space="preserve">Ще один важливий момент, який потребує вирішення - наповнення бюджету розвитку. </w:t>
      </w:r>
      <w:r>
        <w:rPr>
          <w:rFonts w:ascii="Times New Roman" w:hAnsi="Times New Roman" w:cs="Times New Roman"/>
          <w:sz w:val="24"/>
          <w:szCs w:val="24"/>
        </w:rPr>
        <w:t xml:space="preserve">      </w:t>
      </w:r>
      <w:r w:rsidRPr="00B13323">
        <w:rPr>
          <w:rFonts w:ascii="Times New Roman" w:hAnsi="Times New Roman" w:cs="Times New Roman"/>
          <w:sz w:val="24"/>
          <w:szCs w:val="24"/>
        </w:rPr>
        <w:t xml:space="preserve">На сьогодні його обсяги є явно недостатніми для вирішення нагальних проблем, які стоять перед громадою. Його незначного зростання можна досягнути, оптимізувавши поточні видатки громади. Разом з тим, слід шукати додаткові джерела залучення ресурсів. Враховуючи, що </w:t>
      </w:r>
      <w:r w:rsidR="00197A56">
        <w:rPr>
          <w:rFonts w:ascii="Times New Roman" w:hAnsi="Times New Roman" w:cs="Times New Roman"/>
          <w:sz w:val="24"/>
          <w:szCs w:val="24"/>
        </w:rPr>
        <w:t>Костянтинівська</w:t>
      </w:r>
      <w:r w:rsidRPr="00B13323">
        <w:rPr>
          <w:rFonts w:ascii="Times New Roman" w:hAnsi="Times New Roman" w:cs="Times New Roman"/>
          <w:sz w:val="24"/>
          <w:szCs w:val="24"/>
        </w:rPr>
        <w:t xml:space="preserve"> громада є міською, це збільшує її можливості для залучення не лише коштів у вигляді грантів, але й отримання кредитів або емісії цінних паперів. Слід пам'ятати, що такі дії варто гарно прораховувати і адмініструвати. Тому, </w:t>
      </w:r>
      <w:r w:rsidR="00472541">
        <w:rPr>
          <w:rFonts w:ascii="Times New Roman" w:hAnsi="Times New Roman" w:cs="Times New Roman"/>
          <w:sz w:val="24"/>
          <w:szCs w:val="24"/>
        </w:rPr>
        <w:t>вважаємо</w:t>
      </w:r>
      <w:r w:rsidRPr="00B13323">
        <w:rPr>
          <w:rFonts w:ascii="Times New Roman" w:hAnsi="Times New Roman" w:cs="Times New Roman"/>
          <w:sz w:val="24"/>
          <w:szCs w:val="24"/>
        </w:rPr>
        <w:t xml:space="preserve"> за доцільне </w:t>
      </w:r>
      <w:r w:rsidR="00472541">
        <w:rPr>
          <w:rFonts w:ascii="Times New Roman" w:hAnsi="Times New Roman" w:cs="Times New Roman"/>
          <w:sz w:val="24"/>
          <w:szCs w:val="24"/>
        </w:rPr>
        <w:t xml:space="preserve">створення </w:t>
      </w:r>
      <w:r w:rsidRPr="00B13323">
        <w:rPr>
          <w:rFonts w:ascii="Times New Roman" w:hAnsi="Times New Roman" w:cs="Times New Roman"/>
          <w:sz w:val="24"/>
          <w:szCs w:val="24"/>
        </w:rPr>
        <w:t xml:space="preserve"> в апараті громади </w:t>
      </w:r>
      <w:r w:rsidR="00472541">
        <w:rPr>
          <w:rFonts w:ascii="Times New Roman" w:hAnsi="Times New Roman" w:cs="Times New Roman"/>
          <w:sz w:val="24"/>
          <w:szCs w:val="24"/>
        </w:rPr>
        <w:t>відділу інвестиційної та інноваційної діяльності</w:t>
      </w:r>
      <w:r w:rsidRPr="00B13323">
        <w:rPr>
          <w:rFonts w:ascii="Times New Roman" w:hAnsi="Times New Roman" w:cs="Times New Roman"/>
          <w:sz w:val="24"/>
          <w:szCs w:val="24"/>
        </w:rPr>
        <w:t xml:space="preserve">, який </w:t>
      </w:r>
      <w:r w:rsidR="00472541">
        <w:rPr>
          <w:rFonts w:ascii="Times New Roman" w:hAnsi="Times New Roman" w:cs="Times New Roman"/>
          <w:sz w:val="24"/>
          <w:szCs w:val="24"/>
        </w:rPr>
        <w:t>займається</w:t>
      </w:r>
      <w:r w:rsidRPr="00B13323">
        <w:rPr>
          <w:rFonts w:ascii="Times New Roman" w:hAnsi="Times New Roman" w:cs="Times New Roman"/>
          <w:sz w:val="24"/>
          <w:szCs w:val="24"/>
        </w:rPr>
        <w:t xml:space="preserve"> винятково залучення</w:t>
      </w:r>
      <w:r w:rsidR="00076E7B">
        <w:rPr>
          <w:rFonts w:ascii="Times New Roman" w:hAnsi="Times New Roman" w:cs="Times New Roman"/>
          <w:sz w:val="24"/>
          <w:szCs w:val="24"/>
        </w:rPr>
        <w:t>м</w:t>
      </w:r>
      <w:r w:rsidRPr="00B13323">
        <w:rPr>
          <w:rFonts w:ascii="Times New Roman" w:hAnsi="Times New Roman" w:cs="Times New Roman"/>
          <w:sz w:val="24"/>
          <w:szCs w:val="24"/>
        </w:rPr>
        <w:t xml:space="preserve"> зовнішнього фінансування (гранти, кредити тощо) та подальше адміністрування отриманих коштів.</w:t>
      </w:r>
    </w:p>
    <w:p w:rsidR="00B13323" w:rsidRPr="00B13323" w:rsidRDefault="00B13323" w:rsidP="00686A41">
      <w:pPr>
        <w:ind w:firstLine="567"/>
        <w:jc w:val="both"/>
        <w:rPr>
          <w:rFonts w:ascii="Times New Roman" w:hAnsi="Times New Roman" w:cs="Times New Roman"/>
          <w:b/>
          <w:sz w:val="24"/>
          <w:szCs w:val="24"/>
        </w:rPr>
      </w:pPr>
    </w:p>
    <w:sectPr w:rsidR="00B13323" w:rsidRPr="00B13323" w:rsidSect="006F1077">
      <w:pgSz w:w="11906" w:h="16838"/>
      <w:pgMar w:top="850" w:right="566" w:bottom="56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D"/>
    <w:multiLevelType w:val="multilevel"/>
    <w:tmpl w:val="0000000C"/>
    <w:lvl w:ilvl="0">
      <w:start w:val="1"/>
      <w:numFmt w:val="bullet"/>
      <w:lvlText w:val="•"/>
      <w:lvlJc w:val="left"/>
      <w:rPr>
        <w:rFonts w:ascii="Calibri" w:hAnsi="Calibri" w:cs="Calibri"/>
        <w:b w:val="0"/>
        <w:bCs w:val="0"/>
        <w:i w:val="0"/>
        <w:iCs w:val="0"/>
        <w:smallCaps w:val="0"/>
        <w:strike w:val="0"/>
        <w:color w:val="000000"/>
        <w:spacing w:val="0"/>
        <w:w w:val="100"/>
        <w:position w:val="0"/>
        <w:sz w:val="19"/>
        <w:szCs w:val="19"/>
        <w:u w:val="none"/>
      </w:rPr>
    </w:lvl>
    <w:lvl w:ilvl="1">
      <w:start w:val="1"/>
      <w:numFmt w:val="bullet"/>
      <w:lvlText w:val="•"/>
      <w:lvlJc w:val="left"/>
      <w:rPr>
        <w:rFonts w:ascii="Calibri" w:hAnsi="Calibri" w:cs="Calibri"/>
        <w:b w:val="0"/>
        <w:bCs w:val="0"/>
        <w:i w:val="0"/>
        <w:iCs w:val="0"/>
        <w:smallCaps w:val="0"/>
        <w:strike w:val="0"/>
        <w:color w:val="000000"/>
        <w:spacing w:val="0"/>
        <w:w w:val="100"/>
        <w:position w:val="0"/>
        <w:sz w:val="19"/>
        <w:szCs w:val="19"/>
        <w:u w:val="none"/>
      </w:rPr>
    </w:lvl>
    <w:lvl w:ilvl="2">
      <w:start w:val="1"/>
      <w:numFmt w:val="bullet"/>
      <w:lvlText w:val="•"/>
      <w:lvlJc w:val="left"/>
      <w:rPr>
        <w:rFonts w:ascii="Calibri" w:hAnsi="Calibri" w:cs="Calibri"/>
        <w:b w:val="0"/>
        <w:bCs w:val="0"/>
        <w:i w:val="0"/>
        <w:iCs w:val="0"/>
        <w:smallCaps w:val="0"/>
        <w:strike w:val="0"/>
        <w:color w:val="000000"/>
        <w:spacing w:val="0"/>
        <w:w w:val="100"/>
        <w:position w:val="0"/>
        <w:sz w:val="19"/>
        <w:szCs w:val="19"/>
        <w:u w:val="none"/>
      </w:rPr>
    </w:lvl>
    <w:lvl w:ilvl="3">
      <w:start w:val="1"/>
      <w:numFmt w:val="bullet"/>
      <w:lvlText w:val="•"/>
      <w:lvlJc w:val="left"/>
      <w:rPr>
        <w:rFonts w:ascii="Calibri" w:hAnsi="Calibri" w:cs="Calibri"/>
        <w:b w:val="0"/>
        <w:bCs w:val="0"/>
        <w:i w:val="0"/>
        <w:iCs w:val="0"/>
        <w:smallCaps w:val="0"/>
        <w:strike w:val="0"/>
        <w:color w:val="000000"/>
        <w:spacing w:val="0"/>
        <w:w w:val="100"/>
        <w:position w:val="0"/>
        <w:sz w:val="19"/>
        <w:szCs w:val="19"/>
        <w:u w:val="none"/>
      </w:rPr>
    </w:lvl>
    <w:lvl w:ilvl="4">
      <w:start w:val="1"/>
      <w:numFmt w:val="bullet"/>
      <w:lvlText w:val="•"/>
      <w:lvlJc w:val="left"/>
      <w:rPr>
        <w:rFonts w:ascii="Calibri" w:hAnsi="Calibri" w:cs="Calibri"/>
        <w:b w:val="0"/>
        <w:bCs w:val="0"/>
        <w:i w:val="0"/>
        <w:iCs w:val="0"/>
        <w:smallCaps w:val="0"/>
        <w:strike w:val="0"/>
        <w:color w:val="000000"/>
        <w:spacing w:val="0"/>
        <w:w w:val="100"/>
        <w:position w:val="0"/>
        <w:sz w:val="19"/>
        <w:szCs w:val="19"/>
        <w:u w:val="none"/>
      </w:rPr>
    </w:lvl>
    <w:lvl w:ilvl="5">
      <w:start w:val="1"/>
      <w:numFmt w:val="bullet"/>
      <w:lvlText w:val="•"/>
      <w:lvlJc w:val="left"/>
      <w:rPr>
        <w:rFonts w:ascii="Calibri" w:hAnsi="Calibri" w:cs="Calibri"/>
        <w:b w:val="0"/>
        <w:bCs w:val="0"/>
        <w:i w:val="0"/>
        <w:iCs w:val="0"/>
        <w:smallCaps w:val="0"/>
        <w:strike w:val="0"/>
        <w:color w:val="000000"/>
        <w:spacing w:val="0"/>
        <w:w w:val="100"/>
        <w:position w:val="0"/>
        <w:sz w:val="19"/>
        <w:szCs w:val="19"/>
        <w:u w:val="none"/>
      </w:rPr>
    </w:lvl>
    <w:lvl w:ilvl="6">
      <w:start w:val="1"/>
      <w:numFmt w:val="bullet"/>
      <w:lvlText w:val="•"/>
      <w:lvlJc w:val="left"/>
      <w:rPr>
        <w:rFonts w:ascii="Calibri" w:hAnsi="Calibri" w:cs="Calibri"/>
        <w:b w:val="0"/>
        <w:bCs w:val="0"/>
        <w:i w:val="0"/>
        <w:iCs w:val="0"/>
        <w:smallCaps w:val="0"/>
        <w:strike w:val="0"/>
        <w:color w:val="000000"/>
        <w:spacing w:val="0"/>
        <w:w w:val="100"/>
        <w:position w:val="0"/>
        <w:sz w:val="19"/>
        <w:szCs w:val="19"/>
        <w:u w:val="none"/>
      </w:rPr>
    </w:lvl>
    <w:lvl w:ilvl="7">
      <w:start w:val="1"/>
      <w:numFmt w:val="bullet"/>
      <w:lvlText w:val="•"/>
      <w:lvlJc w:val="left"/>
      <w:rPr>
        <w:rFonts w:ascii="Calibri" w:hAnsi="Calibri" w:cs="Calibri"/>
        <w:b w:val="0"/>
        <w:bCs w:val="0"/>
        <w:i w:val="0"/>
        <w:iCs w:val="0"/>
        <w:smallCaps w:val="0"/>
        <w:strike w:val="0"/>
        <w:color w:val="000000"/>
        <w:spacing w:val="0"/>
        <w:w w:val="100"/>
        <w:position w:val="0"/>
        <w:sz w:val="19"/>
        <w:szCs w:val="19"/>
        <w:u w:val="none"/>
      </w:rPr>
    </w:lvl>
    <w:lvl w:ilvl="8">
      <w:start w:val="1"/>
      <w:numFmt w:val="bullet"/>
      <w:lvlText w:val="•"/>
      <w:lvlJc w:val="left"/>
      <w:rPr>
        <w:rFonts w:ascii="Calibri" w:hAnsi="Calibri" w:cs="Calibri"/>
        <w:b w:val="0"/>
        <w:bCs w:val="0"/>
        <w:i w:val="0"/>
        <w:iCs w:val="0"/>
        <w:smallCaps w:val="0"/>
        <w:strike w:val="0"/>
        <w:color w:val="000000"/>
        <w:spacing w:val="0"/>
        <w:w w:val="100"/>
        <w:position w:val="0"/>
        <w:sz w:val="19"/>
        <w:szCs w:val="19"/>
        <w:u w:val="none"/>
      </w:rPr>
    </w:lvl>
  </w:abstractNum>
  <w:abstractNum w:abstractNumId="2">
    <w:nsid w:val="0000001F"/>
    <w:multiLevelType w:val="multilevel"/>
    <w:tmpl w:val="0000001E"/>
    <w:lvl w:ilvl="0">
      <w:start w:val="1"/>
      <w:numFmt w:val="bullet"/>
      <w:lvlText w:val="-"/>
      <w:lvlJc w:val="left"/>
      <w:rPr>
        <w:rFonts w:ascii="Calibri" w:hAnsi="Calibri" w:cs="Calibri"/>
        <w:b w:val="0"/>
        <w:bCs w:val="0"/>
        <w:i w:val="0"/>
        <w:iCs w:val="0"/>
        <w:smallCaps w:val="0"/>
        <w:strike w:val="0"/>
        <w:color w:val="000000"/>
        <w:spacing w:val="0"/>
        <w:w w:val="100"/>
        <w:position w:val="0"/>
        <w:sz w:val="19"/>
        <w:szCs w:val="19"/>
        <w:u w:val="none"/>
      </w:rPr>
    </w:lvl>
    <w:lvl w:ilvl="1">
      <w:start w:val="1"/>
      <w:numFmt w:val="bullet"/>
      <w:lvlText w:val="-"/>
      <w:lvlJc w:val="left"/>
      <w:rPr>
        <w:rFonts w:ascii="Calibri" w:hAnsi="Calibri" w:cs="Calibri"/>
        <w:b w:val="0"/>
        <w:bCs w:val="0"/>
        <w:i w:val="0"/>
        <w:iCs w:val="0"/>
        <w:smallCaps w:val="0"/>
        <w:strike w:val="0"/>
        <w:color w:val="000000"/>
        <w:spacing w:val="0"/>
        <w:w w:val="100"/>
        <w:position w:val="0"/>
        <w:sz w:val="19"/>
        <w:szCs w:val="19"/>
        <w:u w:val="none"/>
      </w:rPr>
    </w:lvl>
    <w:lvl w:ilvl="2">
      <w:start w:val="1"/>
      <w:numFmt w:val="bullet"/>
      <w:lvlText w:val="-"/>
      <w:lvlJc w:val="left"/>
      <w:rPr>
        <w:rFonts w:ascii="Calibri" w:hAnsi="Calibri" w:cs="Calibri"/>
        <w:b w:val="0"/>
        <w:bCs w:val="0"/>
        <w:i w:val="0"/>
        <w:iCs w:val="0"/>
        <w:smallCaps w:val="0"/>
        <w:strike w:val="0"/>
        <w:color w:val="000000"/>
        <w:spacing w:val="0"/>
        <w:w w:val="100"/>
        <w:position w:val="0"/>
        <w:sz w:val="19"/>
        <w:szCs w:val="19"/>
        <w:u w:val="none"/>
      </w:rPr>
    </w:lvl>
    <w:lvl w:ilvl="3">
      <w:start w:val="1"/>
      <w:numFmt w:val="bullet"/>
      <w:lvlText w:val="-"/>
      <w:lvlJc w:val="left"/>
      <w:rPr>
        <w:rFonts w:ascii="Calibri" w:hAnsi="Calibri" w:cs="Calibri"/>
        <w:b w:val="0"/>
        <w:bCs w:val="0"/>
        <w:i w:val="0"/>
        <w:iCs w:val="0"/>
        <w:smallCaps w:val="0"/>
        <w:strike w:val="0"/>
        <w:color w:val="000000"/>
        <w:spacing w:val="0"/>
        <w:w w:val="100"/>
        <w:position w:val="0"/>
        <w:sz w:val="19"/>
        <w:szCs w:val="19"/>
        <w:u w:val="none"/>
      </w:rPr>
    </w:lvl>
    <w:lvl w:ilvl="4">
      <w:start w:val="1"/>
      <w:numFmt w:val="bullet"/>
      <w:lvlText w:val="-"/>
      <w:lvlJc w:val="left"/>
      <w:rPr>
        <w:rFonts w:ascii="Calibri" w:hAnsi="Calibri" w:cs="Calibri"/>
        <w:b w:val="0"/>
        <w:bCs w:val="0"/>
        <w:i w:val="0"/>
        <w:iCs w:val="0"/>
        <w:smallCaps w:val="0"/>
        <w:strike w:val="0"/>
        <w:color w:val="000000"/>
        <w:spacing w:val="0"/>
        <w:w w:val="100"/>
        <w:position w:val="0"/>
        <w:sz w:val="19"/>
        <w:szCs w:val="19"/>
        <w:u w:val="none"/>
      </w:rPr>
    </w:lvl>
    <w:lvl w:ilvl="5">
      <w:start w:val="1"/>
      <w:numFmt w:val="bullet"/>
      <w:lvlText w:val="-"/>
      <w:lvlJc w:val="left"/>
      <w:rPr>
        <w:rFonts w:ascii="Calibri" w:hAnsi="Calibri" w:cs="Calibri"/>
        <w:b w:val="0"/>
        <w:bCs w:val="0"/>
        <w:i w:val="0"/>
        <w:iCs w:val="0"/>
        <w:smallCaps w:val="0"/>
        <w:strike w:val="0"/>
        <w:color w:val="000000"/>
        <w:spacing w:val="0"/>
        <w:w w:val="100"/>
        <w:position w:val="0"/>
        <w:sz w:val="19"/>
        <w:szCs w:val="19"/>
        <w:u w:val="none"/>
      </w:rPr>
    </w:lvl>
    <w:lvl w:ilvl="6">
      <w:start w:val="1"/>
      <w:numFmt w:val="bullet"/>
      <w:lvlText w:val="-"/>
      <w:lvlJc w:val="left"/>
      <w:rPr>
        <w:rFonts w:ascii="Calibri" w:hAnsi="Calibri" w:cs="Calibri"/>
        <w:b w:val="0"/>
        <w:bCs w:val="0"/>
        <w:i w:val="0"/>
        <w:iCs w:val="0"/>
        <w:smallCaps w:val="0"/>
        <w:strike w:val="0"/>
        <w:color w:val="000000"/>
        <w:spacing w:val="0"/>
        <w:w w:val="100"/>
        <w:position w:val="0"/>
        <w:sz w:val="19"/>
        <w:szCs w:val="19"/>
        <w:u w:val="none"/>
      </w:rPr>
    </w:lvl>
    <w:lvl w:ilvl="7">
      <w:start w:val="1"/>
      <w:numFmt w:val="bullet"/>
      <w:lvlText w:val="-"/>
      <w:lvlJc w:val="left"/>
      <w:rPr>
        <w:rFonts w:ascii="Calibri" w:hAnsi="Calibri" w:cs="Calibri"/>
        <w:b w:val="0"/>
        <w:bCs w:val="0"/>
        <w:i w:val="0"/>
        <w:iCs w:val="0"/>
        <w:smallCaps w:val="0"/>
        <w:strike w:val="0"/>
        <w:color w:val="000000"/>
        <w:spacing w:val="0"/>
        <w:w w:val="100"/>
        <w:position w:val="0"/>
        <w:sz w:val="19"/>
        <w:szCs w:val="19"/>
        <w:u w:val="none"/>
      </w:rPr>
    </w:lvl>
    <w:lvl w:ilvl="8">
      <w:start w:val="1"/>
      <w:numFmt w:val="bullet"/>
      <w:lvlText w:val="-"/>
      <w:lvlJc w:val="left"/>
      <w:rPr>
        <w:rFonts w:ascii="Calibri" w:hAnsi="Calibri" w:cs="Calibri"/>
        <w:b w:val="0"/>
        <w:bCs w:val="0"/>
        <w:i w:val="0"/>
        <w:iCs w:val="0"/>
        <w:smallCaps w:val="0"/>
        <w:strike w:val="0"/>
        <w:color w:val="000000"/>
        <w:spacing w:val="0"/>
        <w:w w:val="100"/>
        <w:position w:val="0"/>
        <w:sz w:val="19"/>
        <w:szCs w:val="19"/>
        <w:u w:val="none"/>
      </w:rPr>
    </w:lvl>
  </w:abstractNum>
  <w:abstractNum w:abstractNumId="3">
    <w:nsid w:val="00000021"/>
    <w:multiLevelType w:val="multilevel"/>
    <w:tmpl w:val="00000020"/>
    <w:lvl w:ilvl="0">
      <w:start w:val="1"/>
      <w:numFmt w:val="bullet"/>
      <w:lvlText w:val="-"/>
      <w:lvlJc w:val="left"/>
      <w:rPr>
        <w:rFonts w:ascii="Calibri" w:hAnsi="Calibri" w:cs="Calibri"/>
        <w:b w:val="0"/>
        <w:bCs w:val="0"/>
        <w:i w:val="0"/>
        <w:iCs w:val="0"/>
        <w:smallCaps w:val="0"/>
        <w:strike w:val="0"/>
        <w:color w:val="000000"/>
        <w:spacing w:val="0"/>
        <w:w w:val="100"/>
        <w:position w:val="0"/>
        <w:sz w:val="19"/>
        <w:szCs w:val="19"/>
        <w:u w:val="none"/>
      </w:rPr>
    </w:lvl>
    <w:lvl w:ilvl="1">
      <w:start w:val="1"/>
      <w:numFmt w:val="bullet"/>
      <w:lvlText w:val="-"/>
      <w:lvlJc w:val="left"/>
      <w:rPr>
        <w:rFonts w:ascii="Calibri" w:hAnsi="Calibri" w:cs="Calibri"/>
        <w:b w:val="0"/>
        <w:bCs w:val="0"/>
        <w:i w:val="0"/>
        <w:iCs w:val="0"/>
        <w:smallCaps w:val="0"/>
        <w:strike w:val="0"/>
        <w:color w:val="000000"/>
        <w:spacing w:val="0"/>
        <w:w w:val="100"/>
        <w:position w:val="0"/>
        <w:sz w:val="19"/>
        <w:szCs w:val="19"/>
        <w:u w:val="none"/>
      </w:rPr>
    </w:lvl>
    <w:lvl w:ilvl="2">
      <w:start w:val="1"/>
      <w:numFmt w:val="bullet"/>
      <w:lvlText w:val="-"/>
      <w:lvlJc w:val="left"/>
      <w:rPr>
        <w:rFonts w:ascii="Calibri" w:hAnsi="Calibri" w:cs="Calibri"/>
        <w:b w:val="0"/>
        <w:bCs w:val="0"/>
        <w:i w:val="0"/>
        <w:iCs w:val="0"/>
        <w:smallCaps w:val="0"/>
        <w:strike w:val="0"/>
        <w:color w:val="000000"/>
        <w:spacing w:val="0"/>
        <w:w w:val="100"/>
        <w:position w:val="0"/>
        <w:sz w:val="19"/>
        <w:szCs w:val="19"/>
        <w:u w:val="none"/>
      </w:rPr>
    </w:lvl>
    <w:lvl w:ilvl="3">
      <w:start w:val="1"/>
      <w:numFmt w:val="bullet"/>
      <w:lvlText w:val="-"/>
      <w:lvlJc w:val="left"/>
      <w:rPr>
        <w:rFonts w:ascii="Calibri" w:hAnsi="Calibri" w:cs="Calibri"/>
        <w:b w:val="0"/>
        <w:bCs w:val="0"/>
        <w:i w:val="0"/>
        <w:iCs w:val="0"/>
        <w:smallCaps w:val="0"/>
        <w:strike w:val="0"/>
        <w:color w:val="000000"/>
        <w:spacing w:val="0"/>
        <w:w w:val="100"/>
        <w:position w:val="0"/>
        <w:sz w:val="19"/>
        <w:szCs w:val="19"/>
        <w:u w:val="none"/>
      </w:rPr>
    </w:lvl>
    <w:lvl w:ilvl="4">
      <w:start w:val="1"/>
      <w:numFmt w:val="bullet"/>
      <w:lvlText w:val="-"/>
      <w:lvlJc w:val="left"/>
      <w:rPr>
        <w:rFonts w:ascii="Calibri" w:hAnsi="Calibri" w:cs="Calibri"/>
        <w:b w:val="0"/>
        <w:bCs w:val="0"/>
        <w:i w:val="0"/>
        <w:iCs w:val="0"/>
        <w:smallCaps w:val="0"/>
        <w:strike w:val="0"/>
        <w:color w:val="000000"/>
        <w:spacing w:val="0"/>
        <w:w w:val="100"/>
        <w:position w:val="0"/>
        <w:sz w:val="19"/>
        <w:szCs w:val="19"/>
        <w:u w:val="none"/>
      </w:rPr>
    </w:lvl>
    <w:lvl w:ilvl="5">
      <w:start w:val="1"/>
      <w:numFmt w:val="bullet"/>
      <w:lvlText w:val="-"/>
      <w:lvlJc w:val="left"/>
      <w:rPr>
        <w:rFonts w:ascii="Calibri" w:hAnsi="Calibri" w:cs="Calibri"/>
        <w:b w:val="0"/>
        <w:bCs w:val="0"/>
        <w:i w:val="0"/>
        <w:iCs w:val="0"/>
        <w:smallCaps w:val="0"/>
        <w:strike w:val="0"/>
        <w:color w:val="000000"/>
        <w:spacing w:val="0"/>
        <w:w w:val="100"/>
        <w:position w:val="0"/>
        <w:sz w:val="19"/>
        <w:szCs w:val="19"/>
        <w:u w:val="none"/>
      </w:rPr>
    </w:lvl>
    <w:lvl w:ilvl="6">
      <w:start w:val="1"/>
      <w:numFmt w:val="bullet"/>
      <w:lvlText w:val="-"/>
      <w:lvlJc w:val="left"/>
      <w:rPr>
        <w:rFonts w:ascii="Calibri" w:hAnsi="Calibri" w:cs="Calibri"/>
        <w:b w:val="0"/>
        <w:bCs w:val="0"/>
        <w:i w:val="0"/>
        <w:iCs w:val="0"/>
        <w:smallCaps w:val="0"/>
        <w:strike w:val="0"/>
        <w:color w:val="000000"/>
        <w:spacing w:val="0"/>
        <w:w w:val="100"/>
        <w:position w:val="0"/>
        <w:sz w:val="19"/>
        <w:szCs w:val="19"/>
        <w:u w:val="none"/>
      </w:rPr>
    </w:lvl>
    <w:lvl w:ilvl="7">
      <w:start w:val="1"/>
      <w:numFmt w:val="bullet"/>
      <w:lvlText w:val="-"/>
      <w:lvlJc w:val="left"/>
      <w:rPr>
        <w:rFonts w:ascii="Calibri" w:hAnsi="Calibri" w:cs="Calibri"/>
        <w:b w:val="0"/>
        <w:bCs w:val="0"/>
        <w:i w:val="0"/>
        <w:iCs w:val="0"/>
        <w:smallCaps w:val="0"/>
        <w:strike w:val="0"/>
        <w:color w:val="000000"/>
        <w:spacing w:val="0"/>
        <w:w w:val="100"/>
        <w:position w:val="0"/>
        <w:sz w:val="19"/>
        <w:szCs w:val="19"/>
        <w:u w:val="none"/>
      </w:rPr>
    </w:lvl>
    <w:lvl w:ilvl="8">
      <w:start w:val="1"/>
      <w:numFmt w:val="bullet"/>
      <w:lvlText w:val="-"/>
      <w:lvlJc w:val="left"/>
      <w:rPr>
        <w:rFonts w:ascii="Calibri" w:hAnsi="Calibri" w:cs="Calibri"/>
        <w:b w:val="0"/>
        <w:bCs w:val="0"/>
        <w:i w:val="0"/>
        <w:iCs w:val="0"/>
        <w:smallCaps w:val="0"/>
        <w:strike w:val="0"/>
        <w:color w:val="000000"/>
        <w:spacing w:val="0"/>
        <w:w w:val="100"/>
        <w:position w:val="0"/>
        <w:sz w:val="19"/>
        <w:szCs w:val="19"/>
        <w:u w:val="none"/>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DD623E"/>
    <w:rsid w:val="00022F12"/>
    <w:rsid w:val="00027644"/>
    <w:rsid w:val="000376D7"/>
    <w:rsid w:val="00067A10"/>
    <w:rsid w:val="00076E7B"/>
    <w:rsid w:val="00084DE8"/>
    <w:rsid w:val="000A32EF"/>
    <w:rsid w:val="000B2660"/>
    <w:rsid w:val="000F5B98"/>
    <w:rsid w:val="00123793"/>
    <w:rsid w:val="00133DA0"/>
    <w:rsid w:val="00134F22"/>
    <w:rsid w:val="001456CE"/>
    <w:rsid w:val="00157711"/>
    <w:rsid w:val="001707AF"/>
    <w:rsid w:val="001737AD"/>
    <w:rsid w:val="00197A56"/>
    <w:rsid w:val="002001F8"/>
    <w:rsid w:val="002130B3"/>
    <w:rsid w:val="0024696B"/>
    <w:rsid w:val="0026266B"/>
    <w:rsid w:val="002677A2"/>
    <w:rsid w:val="00286EB1"/>
    <w:rsid w:val="002D13EE"/>
    <w:rsid w:val="002E1BDD"/>
    <w:rsid w:val="002E69FA"/>
    <w:rsid w:val="003751D6"/>
    <w:rsid w:val="00383E11"/>
    <w:rsid w:val="003A70E9"/>
    <w:rsid w:val="003B26CF"/>
    <w:rsid w:val="003C7F41"/>
    <w:rsid w:val="003E22F5"/>
    <w:rsid w:val="00433C10"/>
    <w:rsid w:val="00472541"/>
    <w:rsid w:val="00485D94"/>
    <w:rsid w:val="00496C69"/>
    <w:rsid w:val="004A1273"/>
    <w:rsid w:val="004C05B1"/>
    <w:rsid w:val="004F51C1"/>
    <w:rsid w:val="00524ABB"/>
    <w:rsid w:val="005266E8"/>
    <w:rsid w:val="00533991"/>
    <w:rsid w:val="005666AF"/>
    <w:rsid w:val="005B1F5E"/>
    <w:rsid w:val="005B70B4"/>
    <w:rsid w:val="00603C9A"/>
    <w:rsid w:val="00606106"/>
    <w:rsid w:val="00611D1F"/>
    <w:rsid w:val="00616B82"/>
    <w:rsid w:val="00623690"/>
    <w:rsid w:val="00641317"/>
    <w:rsid w:val="006573D3"/>
    <w:rsid w:val="0066438C"/>
    <w:rsid w:val="0067580E"/>
    <w:rsid w:val="00686A41"/>
    <w:rsid w:val="00692D03"/>
    <w:rsid w:val="006C0FE4"/>
    <w:rsid w:val="006F1077"/>
    <w:rsid w:val="006F3285"/>
    <w:rsid w:val="0075361E"/>
    <w:rsid w:val="007927EE"/>
    <w:rsid w:val="007B1DBA"/>
    <w:rsid w:val="007C0173"/>
    <w:rsid w:val="007C23BC"/>
    <w:rsid w:val="007F321F"/>
    <w:rsid w:val="0082195E"/>
    <w:rsid w:val="00833DB3"/>
    <w:rsid w:val="008423E0"/>
    <w:rsid w:val="008B5149"/>
    <w:rsid w:val="008E51D7"/>
    <w:rsid w:val="008F56D4"/>
    <w:rsid w:val="00904452"/>
    <w:rsid w:val="00924046"/>
    <w:rsid w:val="00925E2E"/>
    <w:rsid w:val="00934D23"/>
    <w:rsid w:val="00935BD8"/>
    <w:rsid w:val="009404EE"/>
    <w:rsid w:val="00953A61"/>
    <w:rsid w:val="00963600"/>
    <w:rsid w:val="00972A03"/>
    <w:rsid w:val="009838B6"/>
    <w:rsid w:val="0098613B"/>
    <w:rsid w:val="00992A35"/>
    <w:rsid w:val="009B0ADF"/>
    <w:rsid w:val="009B2948"/>
    <w:rsid w:val="009B3D33"/>
    <w:rsid w:val="009D3B01"/>
    <w:rsid w:val="009F3BA7"/>
    <w:rsid w:val="009F5251"/>
    <w:rsid w:val="00A0003C"/>
    <w:rsid w:val="00A043B3"/>
    <w:rsid w:val="00A35001"/>
    <w:rsid w:val="00A606EF"/>
    <w:rsid w:val="00A61914"/>
    <w:rsid w:val="00A84BF3"/>
    <w:rsid w:val="00A927A0"/>
    <w:rsid w:val="00A93884"/>
    <w:rsid w:val="00AA05C1"/>
    <w:rsid w:val="00AC21BE"/>
    <w:rsid w:val="00AF64EB"/>
    <w:rsid w:val="00B12C06"/>
    <w:rsid w:val="00B13323"/>
    <w:rsid w:val="00B35402"/>
    <w:rsid w:val="00B354E4"/>
    <w:rsid w:val="00B4506D"/>
    <w:rsid w:val="00B4571E"/>
    <w:rsid w:val="00B701EF"/>
    <w:rsid w:val="00B71AB5"/>
    <w:rsid w:val="00B731BB"/>
    <w:rsid w:val="00B82480"/>
    <w:rsid w:val="00BB0B94"/>
    <w:rsid w:val="00BD6242"/>
    <w:rsid w:val="00C145E2"/>
    <w:rsid w:val="00C54610"/>
    <w:rsid w:val="00C65BCB"/>
    <w:rsid w:val="00C67804"/>
    <w:rsid w:val="00C731D7"/>
    <w:rsid w:val="00C8305E"/>
    <w:rsid w:val="00C8417A"/>
    <w:rsid w:val="00CD0C7C"/>
    <w:rsid w:val="00CD25A2"/>
    <w:rsid w:val="00CE3111"/>
    <w:rsid w:val="00D013DA"/>
    <w:rsid w:val="00D12115"/>
    <w:rsid w:val="00D237C1"/>
    <w:rsid w:val="00D53F00"/>
    <w:rsid w:val="00D644A9"/>
    <w:rsid w:val="00D81A51"/>
    <w:rsid w:val="00DD623E"/>
    <w:rsid w:val="00DF0218"/>
    <w:rsid w:val="00E05855"/>
    <w:rsid w:val="00E20B86"/>
    <w:rsid w:val="00E2438B"/>
    <w:rsid w:val="00E40EE0"/>
    <w:rsid w:val="00E5119C"/>
    <w:rsid w:val="00EA6773"/>
    <w:rsid w:val="00ED36D7"/>
    <w:rsid w:val="00EE0E54"/>
    <w:rsid w:val="00F36190"/>
    <w:rsid w:val="00F4171D"/>
    <w:rsid w:val="00F60E7E"/>
    <w:rsid w:val="00F6102D"/>
    <w:rsid w:val="00F90BEB"/>
    <w:rsid w:val="00FE6B96"/>
    <w:rsid w:val="00FF719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131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uiPriority w:val="99"/>
    <w:rsid w:val="00DD623E"/>
    <w:rPr>
      <w:rFonts w:ascii="Calibri" w:hAnsi="Calibri" w:cs="Calibri"/>
      <w:b/>
      <w:bCs/>
      <w:sz w:val="31"/>
      <w:szCs w:val="31"/>
      <w:shd w:val="clear" w:color="auto" w:fill="FFFFFF"/>
    </w:rPr>
  </w:style>
  <w:style w:type="character" w:customStyle="1" w:styleId="2">
    <w:name w:val="Основной текст (2)_"/>
    <w:basedOn w:val="a0"/>
    <w:link w:val="21"/>
    <w:uiPriority w:val="99"/>
    <w:rsid w:val="00DD623E"/>
    <w:rPr>
      <w:rFonts w:ascii="Calibri" w:hAnsi="Calibri" w:cs="Calibri"/>
      <w:b/>
      <w:bCs/>
      <w:sz w:val="51"/>
      <w:szCs w:val="51"/>
      <w:shd w:val="clear" w:color="auto" w:fill="FFFFFF"/>
    </w:rPr>
  </w:style>
  <w:style w:type="paragraph" w:customStyle="1" w:styleId="30">
    <w:name w:val="Основной текст (3)"/>
    <w:basedOn w:val="a"/>
    <w:link w:val="3"/>
    <w:uiPriority w:val="99"/>
    <w:rsid w:val="00DD623E"/>
    <w:pPr>
      <w:shd w:val="clear" w:color="auto" w:fill="FFFFFF"/>
      <w:spacing w:after="0" w:line="240" w:lineRule="atLeast"/>
    </w:pPr>
    <w:rPr>
      <w:rFonts w:ascii="Calibri" w:hAnsi="Calibri" w:cs="Calibri"/>
      <w:b/>
      <w:bCs/>
      <w:sz w:val="31"/>
      <w:szCs w:val="31"/>
    </w:rPr>
  </w:style>
  <w:style w:type="paragraph" w:customStyle="1" w:styleId="21">
    <w:name w:val="Основной текст (2)1"/>
    <w:basedOn w:val="a"/>
    <w:link w:val="2"/>
    <w:uiPriority w:val="99"/>
    <w:rsid w:val="00DD623E"/>
    <w:pPr>
      <w:shd w:val="clear" w:color="auto" w:fill="FFFFFF"/>
      <w:spacing w:after="60" w:line="653" w:lineRule="exact"/>
      <w:jc w:val="center"/>
    </w:pPr>
    <w:rPr>
      <w:rFonts w:ascii="Calibri" w:hAnsi="Calibri" w:cs="Calibri"/>
      <w:b/>
      <w:bCs/>
      <w:sz w:val="51"/>
      <w:szCs w:val="51"/>
    </w:rPr>
  </w:style>
  <w:style w:type="paragraph" w:styleId="a3">
    <w:name w:val="Balloon Text"/>
    <w:basedOn w:val="a"/>
    <w:link w:val="a4"/>
    <w:uiPriority w:val="99"/>
    <w:semiHidden/>
    <w:unhideWhenUsed/>
    <w:rsid w:val="00DD623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D623E"/>
    <w:rPr>
      <w:rFonts w:ascii="Tahoma" w:hAnsi="Tahoma" w:cs="Tahoma"/>
      <w:sz w:val="16"/>
      <w:szCs w:val="16"/>
    </w:rPr>
  </w:style>
  <w:style w:type="character" w:customStyle="1" w:styleId="20">
    <w:name w:val="Заголовок №2_"/>
    <w:basedOn w:val="a0"/>
    <w:link w:val="210"/>
    <w:uiPriority w:val="99"/>
    <w:rsid w:val="00DD623E"/>
    <w:rPr>
      <w:rFonts w:ascii="Times New Roman" w:hAnsi="Times New Roman" w:cs="Times New Roman"/>
      <w:b/>
      <w:bCs/>
      <w:sz w:val="27"/>
      <w:szCs w:val="27"/>
      <w:shd w:val="clear" w:color="auto" w:fill="FFFFFF"/>
    </w:rPr>
  </w:style>
  <w:style w:type="character" w:customStyle="1" w:styleId="22">
    <w:name w:val="Заголовок №2"/>
    <w:basedOn w:val="20"/>
    <w:uiPriority w:val="99"/>
    <w:rsid w:val="00DD623E"/>
    <w:rPr>
      <w:rFonts w:ascii="Times New Roman" w:hAnsi="Times New Roman" w:cs="Times New Roman"/>
      <w:b/>
      <w:bCs/>
      <w:sz w:val="27"/>
      <w:szCs w:val="27"/>
      <w:shd w:val="clear" w:color="auto" w:fill="FFFFFF"/>
    </w:rPr>
  </w:style>
  <w:style w:type="character" w:customStyle="1" w:styleId="220">
    <w:name w:val="Заголовок №22"/>
    <w:basedOn w:val="20"/>
    <w:uiPriority w:val="99"/>
    <w:rsid w:val="00DD623E"/>
    <w:rPr>
      <w:rFonts w:ascii="Times New Roman" w:hAnsi="Times New Roman" w:cs="Times New Roman"/>
      <w:b/>
      <w:bCs/>
      <w:noProof/>
      <w:sz w:val="27"/>
      <w:szCs w:val="27"/>
      <w:shd w:val="clear" w:color="auto" w:fill="FFFFFF"/>
    </w:rPr>
  </w:style>
  <w:style w:type="character" w:customStyle="1" w:styleId="31">
    <w:name w:val="Заголовок №3_"/>
    <w:basedOn w:val="a0"/>
    <w:link w:val="32"/>
    <w:uiPriority w:val="99"/>
    <w:rsid w:val="00DD623E"/>
    <w:rPr>
      <w:rFonts w:ascii="Times New Roman" w:hAnsi="Times New Roman" w:cs="Times New Roman"/>
      <w:b/>
      <w:bCs/>
      <w:sz w:val="27"/>
      <w:szCs w:val="27"/>
      <w:shd w:val="clear" w:color="auto" w:fill="FFFFFF"/>
    </w:rPr>
  </w:style>
  <w:style w:type="paragraph" w:customStyle="1" w:styleId="210">
    <w:name w:val="Заголовок №21"/>
    <w:basedOn w:val="a"/>
    <w:link w:val="20"/>
    <w:uiPriority w:val="99"/>
    <w:rsid w:val="00DD623E"/>
    <w:pPr>
      <w:shd w:val="clear" w:color="auto" w:fill="FFFFFF"/>
      <w:spacing w:after="120" w:line="336" w:lineRule="exact"/>
      <w:ind w:hanging="1500"/>
      <w:outlineLvl w:val="1"/>
    </w:pPr>
    <w:rPr>
      <w:rFonts w:ascii="Times New Roman" w:hAnsi="Times New Roman" w:cs="Times New Roman"/>
      <w:b/>
      <w:bCs/>
      <w:sz w:val="27"/>
      <w:szCs w:val="27"/>
    </w:rPr>
  </w:style>
  <w:style w:type="paragraph" w:customStyle="1" w:styleId="32">
    <w:name w:val="Заголовок №3"/>
    <w:basedOn w:val="a"/>
    <w:link w:val="31"/>
    <w:uiPriority w:val="99"/>
    <w:rsid w:val="00DD623E"/>
    <w:pPr>
      <w:shd w:val="clear" w:color="auto" w:fill="FFFFFF"/>
      <w:spacing w:before="120" w:after="180" w:line="240" w:lineRule="atLeast"/>
      <w:outlineLvl w:val="2"/>
    </w:pPr>
    <w:rPr>
      <w:rFonts w:ascii="Times New Roman" w:hAnsi="Times New Roman" w:cs="Times New Roman"/>
      <w:b/>
      <w:bCs/>
      <w:sz w:val="27"/>
      <w:szCs w:val="27"/>
    </w:rPr>
  </w:style>
  <w:style w:type="character" w:customStyle="1" w:styleId="a5">
    <w:name w:val="Подпись к картинке_"/>
    <w:basedOn w:val="a0"/>
    <w:link w:val="1"/>
    <w:uiPriority w:val="99"/>
    <w:rsid w:val="00623690"/>
    <w:rPr>
      <w:rFonts w:ascii="Calibri" w:hAnsi="Calibri" w:cs="Calibri"/>
      <w:b/>
      <w:bCs/>
      <w:sz w:val="19"/>
      <w:szCs w:val="19"/>
      <w:shd w:val="clear" w:color="auto" w:fill="FFFFFF"/>
    </w:rPr>
  </w:style>
  <w:style w:type="character" w:customStyle="1" w:styleId="a6">
    <w:name w:val="Подпись к картинке"/>
    <w:basedOn w:val="a5"/>
    <w:uiPriority w:val="99"/>
    <w:rsid w:val="00623690"/>
    <w:rPr>
      <w:rFonts w:ascii="Calibri" w:hAnsi="Calibri" w:cs="Calibri"/>
      <w:b/>
      <w:bCs/>
      <w:sz w:val="19"/>
      <w:szCs w:val="19"/>
      <w:shd w:val="clear" w:color="auto" w:fill="FFFFFF"/>
    </w:rPr>
  </w:style>
  <w:style w:type="paragraph" w:customStyle="1" w:styleId="1">
    <w:name w:val="Подпись к картинке1"/>
    <w:basedOn w:val="a"/>
    <w:link w:val="a5"/>
    <w:uiPriority w:val="99"/>
    <w:rsid w:val="00623690"/>
    <w:pPr>
      <w:shd w:val="clear" w:color="auto" w:fill="FFFFFF"/>
      <w:spacing w:after="0" w:line="240" w:lineRule="atLeast"/>
    </w:pPr>
    <w:rPr>
      <w:rFonts w:ascii="Calibri" w:hAnsi="Calibri" w:cs="Calibri"/>
      <w:b/>
      <w:bCs/>
      <w:sz w:val="19"/>
      <w:szCs w:val="19"/>
    </w:rPr>
  </w:style>
  <w:style w:type="character" w:customStyle="1" w:styleId="10">
    <w:name w:val="Основной текст Знак1"/>
    <w:basedOn w:val="a0"/>
    <w:link w:val="a7"/>
    <w:uiPriority w:val="99"/>
    <w:rsid w:val="00623690"/>
    <w:rPr>
      <w:rFonts w:ascii="Calibri" w:hAnsi="Calibri" w:cs="Calibri"/>
      <w:sz w:val="19"/>
      <w:szCs w:val="19"/>
      <w:shd w:val="clear" w:color="auto" w:fill="FFFFFF"/>
    </w:rPr>
  </w:style>
  <w:style w:type="paragraph" w:styleId="a7">
    <w:name w:val="Body Text"/>
    <w:basedOn w:val="a"/>
    <w:link w:val="10"/>
    <w:uiPriority w:val="99"/>
    <w:rsid w:val="00623690"/>
    <w:pPr>
      <w:shd w:val="clear" w:color="auto" w:fill="FFFFFF"/>
      <w:spacing w:before="240" w:after="60" w:line="240" w:lineRule="atLeast"/>
      <w:ind w:hanging="360"/>
    </w:pPr>
    <w:rPr>
      <w:rFonts w:ascii="Calibri" w:hAnsi="Calibri" w:cs="Calibri"/>
      <w:sz w:val="19"/>
      <w:szCs w:val="19"/>
    </w:rPr>
  </w:style>
  <w:style w:type="character" w:customStyle="1" w:styleId="a8">
    <w:name w:val="Основной текст Знак"/>
    <w:basedOn w:val="a0"/>
    <w:uiPriority w:val="99"/>
    <w:semiHidden/>
    <w:rsid w:val="00623690"/>
  </w:style>
  <w:style w:type="character" w:customStyle="1" w:styleId="11">
    <w:name w:val="Подпись к картинке11"/>
    <w:basedOn w:val="a5"/>
    <w:uiPriority w:val="99"/>
    <w:rsid w:val="002130B3"/>
    <w:rPr>
      <w:rFonts w:ascii="Calibri" w:hAnsi="Calibri" w:cs="Calibri"/>
      <w:b/>
      <w:bCs/>
      <w:spacing w:val="0"/>
      <w:sz w:val="19"/>
      <w:szCs w:val="19"/>
      <w:shd w:val="clear" w:color="auto" w:fill="FFFFFF"/>
    </w:rPr>
  </w:style>
  <w:style w:type="character" w:customStyle="1" w:styleId="4">
    <w:name w:val="Заголовок №4_"/>
    <w:basedOn w:val="a0"/>
    <w:link w:val="40"/>
    <w:uiPriority w:val="99"/>
    <w:rsid w:val="0067580E"/>
    <w:rPr>
      <w:rFonts w:ascii="Times New Roman" w:hAnsi="Times New Roman" w:cs="Times New Roman"/>
      <w:b/>
      <w:bCs/>
      <w:shd w:val="clear" w:color="auto" w:fill="FFFFFF"/>
    </w:rPr>
  </w:style>
  <w:style w:type="paragraph" w:customStyle="1" w:styleId="40">
    <w:name w:val="Заголовок №4"/>
    <w:basedOn w:val="a"/>
    <w:link w:val="4"/>
    <w:uiPriority w:val="99"/>
    <w:rsid w:val="0067580E"/>
    <w:pPr>
      <w:shd w:val="clear" w:color="auto" w:fill="FFFFFF"/>
      <w:spacing w:before="180" w:after="180" w:line="240" w:lineRule="atLeast"/>
      <w:jc w:val="both"/>
      <w:outlineLvl w:val="3"/>
    </w:pPr>
    <w:rPr>
      <w:rFonts w:ascii="Times New Roman" w:hAnsi="Times New Roman" w:cs="Times New Roman"/>
      <w:b/>
      <w:bCs/>
    </w:rPr>
  </w:style>
  <w:style w:type="character" w:customStyle="1" w:styleId="41">
    <w:name w:val="Основной текст (4)_"/>
    <w:basedOn w:val="a0"/>
    <w:link w:val="410"/>
    <w:uiPriority w:val="99"/>
    <w:rsid w:val="009838B6"/>
    <w:rPr>
      <w:rFonts w:ascii="Calibri" w:hAnsi="Calibri" w:cs="Calibri"/>
      <w:b/>
      <w:bCs/>
      <w:sz w:val="19"/>
      <w:szCs w:val="19"/>
      <w:shd w:val="clear" w:color="auto" w:fill="FFFFFF"/>
    </w:rPr>
  </w:style>
  <w:style w:type="character" w:customStyle="1" w:styleId="416">
    <w:name w:val="Основной текст (4)16"/>
    <w:basedOn w:val="41"/>
    <w:uiPriority w:val="99"/>
    <w:rsid w:val="009838B6"/>
    <w:rPr>
      <w:rFonts w:ascii="Calibri" w:hAnsi="Calibri" w:cs="Calibri"/>
      <w:b/>
      <w:bCs/>
      <w:sz w:val="19"/>
      <w:szCs w:val="19"/>
      <w:shd w:val="clear" w:color="auto" w:fill="FFFFFF"/>
    </w:rPr>
  </w:style>
  <w:style w:type="paragraph" w:customStyle="1" w:styleId="410">
    <w:name w:val="Основной текст (4)1"/>
    <w:basedOn w:val="a"/>
    <w:link w:val="41"/>
    <w:uiPriority w:val="99"/>
    <w:rsid w:val="009838B6"/>
    <w:pPr>
      <w:shd w:val="clear" w:color="auto" w:fill="FFFFFF"/>
      <w:spacing w:after="60" w:line="240" w:lineRule="atLeast"/>
    </w:pPr>
    <w:rPr>
      <w:rFonts w:ascii="Calibri" w:hAnsi="Calibri" w:cs="Calibri"/>
      <w:b/>
      <w:bCs/>
      <w:sz w:val="19"/>
      <w:szCs w:val="19"/>
    </w:rPr>
  </w:style>
  <w:style w:type="character" w:customStyle="1" w:styleId="23">
    <w:name w:val="Подпись к картинке (2)_"/>
    <w:basedOn w:val="a0"/>
    <w:link w:val="211"/>
    <w:uiPriority w:val="99"/>
    <w:rsid w:val="007927EE"/>
    <w:rPr>
      <w:rFonts w:ascii="Times New Roman" w:hAnsi="Times New Roman" w:cs="Times New Roman"/>
      <w:sz w:val="14"/>
      <w:szCs w:val="14"/>
      <w:shd w:val="clear" w:color="auto" w:fill="FFFFFF"/>
    </w:rPr>
  </w:style>
  <w:style w:type="paragraph" w:customStyle="1" w:styleId="211">
    <w:name w:val="Подпись к картинке (2)1"/>
    <w:basedOn w:val="a"/>
    <w:link w:val="23"/>
    <w:uiPriority w:val="99"/>
    <w:rsid w:val="007927EE"/>
    <w:pPr>
      <w:shd w:val="clear" w:color="auto" w:fill="FFFFFF"/>
      <w:spacing w:before="60" w:after="0" w:line="240" w:lineRule="atLeast"/>
    </w:pPr>
    <w:rPr>
      <w:rFonts w:ascii="Times New Roman" w:hAnsi="Times New Roman" w:cs="Times New Roman"/>
      <w:sz w:val="14"/>
      <w:szCs w:val="14"/>
    </w:rPr>
  </w:style>
  <w:style w:type="character" w:customStyle="1" w:styleId="311pt">
    <w:name w:val="Заголовок №3 + 11 pt"/>
    <w:basedOn w:val="31"/>
    <w:uiPriority w:val="99"/>
    <w:rsid w:val="00067A10"/>
    <w:rPr>
      <w:rFonts w:ascii="Times New Roman" w:hAnsi="Times New Roman" w:cs="Times New Roman"/>
      <w:b/>
      <w:bCs/>
      <w:spacing w:val="0"/>
      <w:sz w:val="22"/>
      <w:szCs w:val="22"/>
      <w:shd w:val="clear" w:color="auto" w:fill="FFFFFF"/>
    </w:rPr>
  </w:style>
  <w:style w:type="character" w:customStyle="1" w:styleId="311pt1">
    <w:name w:val="Заголовок №3 + 11 pt1"/>
    <w:basedOn w:val="31"/>
    <w:uiPriority w:val="99"/>
    <w:rsid w:val="00606106"/>
    <w:rPr>
      <w:rFonts w:ascii="Times New Roman" w:hAnsi="Times New Roman" w:cs="Times New Roman"/>
      <w:b/>
      <w:bCs/>
      <w:spacing w:val="0"/>
      <w:sz w:val="22"/>
      <w:szCs w:val="22"/>
      <w:shd w:val="clear" w:color="auto" w:fill="FFFFFF"/>
    </w:rPr>
  </w:style>
  <w:style w:type="character" w:customStyle="1" w:styleId="410pt">
    <w:name w:val="Заголовок №4 + 10 pt"/>
    <w:basedOn w:val="4"/>
    <w:uiPriority w:val="99"/>
    <w:rsid w:val="004C05B1"/>
    <w:rPr>
      <w:rFonts w:ascii="Times New Roman" w:hAnsi="Times New Roman" w:cs="Times New Roman"/>
      <w:b/>
      <w:bCs/>
      <w:spacing w:val="0"/>
      <w:sz w:val="20"/>
      <w:szCs w:val="20"/>
      <w:shd w:val="clear" w:color="auto" w:fill="FFFFFF"/>
    </w:rPr>
  </w:style>
  <w:style w:type="paragraph" w:styleId="a9">
    <w:name w:val="Body Text Indent"/>
    <w:basedOn w:val="a"/>
    <w:link w:val="aa"/>
    <w:uiPriority w:val="99"/>
    <w:unhideWhenUsed/>
    <w:rsid w:val="0026266B"/>
    <w:pPr>
      <w:spacing w:after="120"/>
      <w:ind w:left="283"/>
    </w:pPr>
  </w:style>
  <w:style w:type="character" w:customStyle="1" w:styleId="aa">
    <w:name w:val="Основной текст с отступом Знак"/>
    <w:basedOn w:val="a0"/>
    <w:link w:val="a9"/>
    <w:uiPriority w:val="99"/>
    <w:rsid w:val="0026266B"/>
  </w:style>
  <w:style w:type="paragraph" w:styleId="24">
    <w:name w:val="Body Text 2"/>
    <w:basedOn w:val="a"/>
    <w:link w:val="25"/>
    <w:rsid w:val="0026266B"/>
    <w:pPr>
      <w:spacing w:after="120" w:line="480" w:lineRule="auto"/>
    </w:pPr>
    <w:rPr>
      <w:rFonts w:ascii="Times New Roman" w:eastAsia="Times New Roman" w:hAnsi="Times New Roman" w:cs="Times New Roman"/>
      <w:sz w:val="24"/>
      <w:szCs w:val="24"/>
      <w:lang w:val="ru-RU" w:eastAsia="ru-RU"/>
    </w:rPr>
  </w:style>
  <w:style w:type="character" w:customStyle="1" w:styleId="25">
    <w:name w:val="Основной текст 2 Знак"/>
    <w:basedOn w:val="a0"/>
    <w:link w:val="24"/>
    <w:rsid w:val="0026266B"/>
    <w:rPr>
      <w:rFonts w:ascii="Times New Roman" w:eastAsia="Times New Roman" w:hAnsi="Times New Roman" w:cs="Times New Roman"/>
      <w:sz w:val="24"/>
      <w:szCs w:val="24"/>
      <w:lang w:val="ru-RU" w:eastAsia="ru-RU"/>
    </w:rPr>
  </w:style>
  <w:style w:type="paragraph" w:styleId="26">
    <w:name w:val="Body Text Indent 2"/>
    <w:basedOn w:val="a"/>
    <w:link w:val="27"/>
    <w:rsid w:val="0026266B"/>
    <w:pPr>
      <w:spacing w:after="120" w:line="480" w:lineRule="auto"/>
      <w:ind w:left="283"/>
    </w:pPr>
    <w:rPr>
      <w:rFonts w:ascii="Times New Roman" w:eastAsia="Times New Roman" w:hAnsi="Times New Roman" w:cs="Times New Roman"/>
      <w:sz w:val="24"/>
      <w:szCs w:val="24"/>
      <w:lang w:val="ru-RU" w:eastAsia="ru-RU"/>
    </w:rPr>
  </w:style>
  <w:style w:type="character" w:customStyle="1" w:styleId="27">
    <w:name w:val="Основной текст с отступом 2 Знак"/>
    <w:basedOn w:val="a0"/>
    <w:link w:val="26"/>
    <w:rsid w:val="0026266B"/>
    <w:rPr>
      <w:rFonts w:ascii="Times New Roman" w:eastAsia="Times New Roman" w:hAnsi="Times New Roman" w:cs="Times New Roman"/>
      <w:sz w:val="24"/>
      <w:szCs w:val="24"/>
      <w:lang w:val="ru-RU" w:eastAsia="ru-RU"/>
    </w:rPr>
  </w:style>
  <w:style w:type="character" w:customStyle="1" w:styleId="WW8Num2z7">
    <w:name w:val="WW8Num2z7"/>
    <w:rsid w:val="00533991"/>
  </w:style>
  <w:style w:type="paragraph" w:customStyle="1" w:styleId="Default">
    <w:name w:val="Default"/>
    <w:rsid w:val="00533991"/>
    <w:pPr>
      <w:suppressAutoHyphens/>
      <w:autoSpaceDE w:val="0"/>
      <w:spacing w:after="0" w:line="240" w:lineRule="auto"/>
    </w:pPr>
    <w:rPr>
      <w:rFonts w:ascii="Arial" w:eastAsia="Times New Roman" w:hAnsi="Arial" w:cs="Arial"/>
      <w:color w:val="000000"/>
      <w:sz w:val="24"/>
      <w:szCs w:val="20"/>
      <w:lang w:val="ru-RU" w:eastAsia="ar-SA"/>
    </w:rPr>
  </w:style>
  <w:style w:type="character" w:customStyle="1" w:styleId="15">
    <w:name w:val="Основной текст (15)_"/>
    <w:basedOn w:val="a0"/>
    <w:link w:val="151"/>
    <w:uiPriority w:val="99"/>
    <w:rsid w:val="007C0173"/>
    <w:rPr>
      <w:rFonts w:ascii="Times New Roman" w:hAnsi="Times New Roman" w:cs="Times New Roman"/>
      <w:b/>
      <w:bCs/>
      <w:sz w:val="20"/>
      <w:szCs w:val="20"/>
      <w:shd w:val="clear" w:color="auto" w:fill="FFFFFF"/>
    </w:rPr>
  </w:style>
  <w:style w:type="character" w:customStyle="1" w:styleId="153">
    <w:name w:val="Основной текст (15)3"/>
    <w:basedOn w:val="15"/>
    <w:uiPriority w:val="99"/>
    <w:rsid w:val="007C0173"/>
    <w:rPr>
      <w:rFonts w:ascii="Times New Roman" w:hAnsi="Times New Roman" w:cs="Times New Roman"/>
      <w:b/>
      <w:bCs/>
      <w:sz w:val="20"/>
      <w:szCs w:val="20"/>
      <w:shd w:val="clear" w:color="auto" w:fill="FFFFFF"/>
    </w:rPr>
  </w:style>
  <w:style w:type="paragraph" w:customStyle="1" w:styleId="151">
    <w:name w:val="Основной текст (15)1"/>
    <w:basedOn w:val="a"/>
    <w:link w:val="15"/>
    <w:uiPriority w:val="99"/>
    <w:rsid w:val="007C0173"/>
    <w:pPr>
      <w:shd w:val="clear" w:color="auto" w:fill="FFFFFF"/>
      <w:spacing w:before="180" w:after="180" w:line="240" w:lineRule="atLeast"/>
      <w:jc w:val="both"/>
    </w:pPr>
    <w:rPr>
      <w:rFonts w:ascii="Times New Roman" w:hAnsi="Times New Roman" w:cs="Times New Roman"/>
      <w:b/>
      <w:bCs/>
      <w:sz w:val="20"/>
      <w:szCs w:val="20"/>
    </w:rPr>
  </w:style>
  <w:style w:type="character" w:customStyle="1" w:styleId="CharStyle4">
    <w:name w:val="CharStyle4"/>
    <w:rsid w:val="008F56D4"/>
    <w:rPr>
      <w:rFonts w:ascii="Times New Roman" w:eastAsia="Times New Roman" w:hAnsi="Times New Roman" w:cs="Times New Roman"/>
      <w:b/>
      <w:bCs/>
      <w:i w:val="0"/>
      <w:iCs w:val="0"/>
      <w:strike w:val="0"/>
      <w:dstrike w:val="0"/>
      <w:color w:val="000000"/>
      <w:spacing w:val="0"/>
      <w:w w:val="100"/>
      <w:position w:val="0"/>
      <w:sz w:val="27"/>
      <w:szCs w:val="27"/>
      <w:u w:val="none"/>
      <w:vertAlign w:val="baseline"/>
      <w:lang w:val="uk-UA" w:eastAsia="uk-UA" w:bidi="uk-UA"/>
    </w:rPr>
  </w:style>
  <w:style w:type="paragraph" w:customStyle="1" w:styleId="212">
    <w:name w:val="Основной текст с отступом 21"/>
    <w:basedOn w:val="a"/>
    <w:rsid w:val="003E22F5"/>
    <w:pPr>
      <w:widowControl w:val="0"/>
      <w:suppressAutoHyphens/>
      <w:spacing w:after="120" w:line="480" w:lineRule="auto"/>
      <w:ind w:left="283"/>
    </w:pPr>
    <w:rPr>
      <w:rFonts w:ascii="Times New Roman CYR" w:eastAsia="Calibri" w:hAnsi="Times New Roman CYR" w:cs="Times New Roman CYR"/>
      <w:kern w:val="2"/>
      <w:sz w:val="24"/>
      <w:szCs w:val="2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6.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5.xml"/><Relationship Id="rId32" Type="http://schemas.openxmlformats.org/officeDocument/2006/relationships/chart" Target="charts/chart23.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image" Target="media/image4.jpeg"/><Relationship Id="rId28" Type="http://schemas.openxmlformats.org/officeDocument/2006/relationships/chart" Target="charts/chart19.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2.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8.xml"/><Relationship Id="rId30" Type="http://schemas.openxmlformats.org/officeDocument/2006/relationships/chart" Target="charts/chart2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PowerPoint"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1044;&#1080;&#1072;&#1075;&#1088;&#1072;&#1084;&#1084;&#1072;%20&#1074;%20Microsoft%20Office%20PowerPoint"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1055;&#1086;&#1085;&#1086;&#1084;&#1072;&#1088;&#1077;&#1074;\&#1055;&#1088;&#1086;&#1075;&#1088;&#1072;&#1084;&#1084;&#1072;%20&#1052;&#1041;%202021-2022\&#1053;&#1054;&#1042;&#1040;&#1071;%20&#1055;&#1056;&#1054;&#1043;&#1056;&#1040;&#1052;&#1052;&#1040;%20&#1053;&#1040;%202021-2022\&#1044;&#1080;&#1072;&#1075;&#1088;&#1072;&#1084;.xls" TargetMode="External"/></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Excel1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oleObject" Target="file:///C:\Users\&#1045;&#1082;&#1086;&#1085;&#1086;&#1084;&#1110;&#1082;&#1072;\Desktop\&#1044;&#1048;&#1040;&#1043;&#1056;&#1040;&#1052;&#1052;&#1067;.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1045;&#1082;&#1086;&#1085;&#1086;&#1084;&#1110;&#1082;&#1072;\Desktop\&#1044;&#1048;&#1040;&#1043;&#1056;&#1040;&#1052;&#1052;&#1067;.xls" TargetMode="External"/></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noFill/>
        <a:ln w="9525">
          <a:noFill/>
        </a:ln>
      </c:spPr>
    </c:floor>
    <c:sideWall>
      <c:thickness val="0"/>
    </c:sideWall>
    <c:backWall>
      <c:thickness val="0"/>
    </c:backWall>
    <c:plotArea>
      <c:layout>
        <c:manualLayout>
          <c:layoutTarget val="inner"/>
          <c:xMode val="edge"/>
          <c:yMode val="edge"/>
          <c:x val="0.14154233723670118"/>
          <c:y val="4.6292952831992112E-2"/>
          <c:w val="0.8584576627633016"/>
          <c:h val="0.56038940757094813"/>
        </c:manualLayout>
      </c:layout>
      <c:bar3DChart>
        <c:barDir val="col"/>
        <c:grouping val="stacked"/>
        <c:varyColors val="0"/>
        <c:ser>
          <c:idx val="0"/>
          <c:order val="0"/>
          <c:tx>
            <c:strRef>
              <c:f>Лист1!$B$1</c:f>
              <c:strCache>
                <c:ptCount val="1"/>
                <c:pt idx="0">
                  <c:v>Ряд 1</c:v>
                </c:pt>
              </c:strCache>
            </c:strRef>
          </c:tx>
          <c:invertIfNegative val="0"/>
          <c:dPt>
            <c:idx val="2"/>
            <c:invertIfNegative val="0"/>
            <c:bubble3D val="0"/>
            <c:spPr>
              <a:solidFill>
                <a:srgbClr val="FFFF00"/>
              </a:solidFill>
            </c:spPr>
          </c:dPt>
          <c:dLbls>
            <c:dLbl>
              <c:idx val="0"/>
              <c:layout>
                <c:manualLayout>
                  <c:x val="-4.6296296296297074E-3"/>
                  <c:y val="-5.4972881487990434E-2"/>
                </c:manualLayout>
              </c:layout>
              <c:showLegendKey val="0"/>
              <c:showVal val="1"/>
              <c:showCatName val="0"/>
              <c:showSerName val="0"/>
              <c:showPercent val="0"/>
              <c:showBubbleSize val="0"/>
            </c:dLbl>
            <c:dLbl>
              <c:idx val="1"/>
              <c:layout>
                <c:manualLayout>
                  <c:x val="6.1728395061728504E-3"/>
                  <c:y val="-6.3652810143988894E-2"/>
                </c:manualLayout>
              </c:layout>
              <c:showLegendKey val="0"/>
              <c:showVal val="1"/>
              <c:showCatName val="0"/>
              <c:showSerName val="0"/>
              <c:showPercent val="0"/>
              <c:showBubbleSize val="0"/>
            </c:dLbl>
            <c:dLbl>
              <c:idx val="2"/>
              <c:layout>
                <c:manualLayout>
                  <c:x val="-3.0864197530864712E-3"/>
                  <c:y val="-0.1388788584959757"/>
                </c:manualLayout>
              </c:layout>
              <c:showLegendKey val="0"/>
              <c:showVal val="1"/>
              <c:showCatName val="0"/>
              <c:showSerName val="0"/>
              <c:showPercent val="0"/>
              <c:showBubbleSize val="0"/>
            </c:dLbl>
            <c:dLbl>
              <c:idx val="3"/>
              <c:layout>
                <c:manualLayout>
                  <c:x val="4.4968921871869523E-3"/>
                  <c:y val="-5.7866191039991216E-2"/>
                </c:manualLayout>
              </c:layout>
              <c:showLegendKey val="0"/>
              <c:showVal val="1"/>
              <c:showCatName val="0"/>
              <c:showSerName val="0"/>
              <c:showPercent val="0"/>
              <c:showBubbleSize val="0"/>
            </c:dLbl>
            <c:dLbl>
              <c:idx val="4"/>
              <c:layout>
                <c:manualLayout>
                  <c:x val="1.4989640623956199E-3"/>
                  <c:y val="-0.28643764564794982"/>
                </c:manualLayout>
              </c:layout>
              <c:showLegendKey val="0"/>
              <c:showVal val="1"/>
              <c:showCatName val="0"/>
              <c:showSerName val="0"/>
              <c:showPercent val="0"/>
              <c:showBubbleSize val="0"/>
            </c:dLbl>
            <c:dLbl>
              <c:idx val="5"/>
              <c:layout>
                <c:manualLayout>
                  <c:x val="1.4989640623956199E-3"/>
                  <c:y val="-0.13019892983997719"/>
                </c:manualLayout>
              </c:layout>
              <c:showLegendKey val="0"/>
              <c:showVal val="1"/>
              <c:showCatName val="0"/>
              <c:showSerName val="0"/>
              <c:showPercent val="0"/>
              <c:showBubbleSize val="0"/>
            </c:dLbl>
            <c:dLbl>
              <c:idx val="6"/>
              <c:layout>
                <c:manualLayout>
                  <c:x val="8.9937843743738855E-3"/>
                  <c:y val="-4.3399643279992406E-2"/>
                </c:manualLayout>
              </c:layout>
              <c:showLegendKey val="0"/>
              <c:showVal val="1"/>
              <c:showCatName val="0"/>
              <c:showSerName val="0"/>
              <c:showPercent val="0"/>
              <c:showBubbleSize val="0"/>
            </c:dLbl>
            <c:dLbl>
              <c:idx val="7"/>
              <c:layout>
                <c:manualLayout>
                  <c:x val="4.4968921871869523E-3"/>
                  <c:y val="-0.1967450495359693"/>
                </c:manualLayout>
              </c:layout>
              <c:showLegendKey val="0"/>
              <c:showVal val="1"/>
              <c:showCatName val="0"/>
              <c:showSerName val="0"/>
              <c:showPercent val="0"/>
              <c:showBubbleSize val="0"/>
            </c:dLbl>
            <c:dLbl>
              <c:idx val="8"/>
              <c:layout>
                <c:manualLayout>
                  <c:x val="4.4968921871869523E-3"/>
                  <c:y val="-9.8372524767983208E-2"/>
                </c:manualLayout>
              </c:layout>
              <c:showLegendKey val="0"/>
              <c:showVal val="1"/>
              <c:showCatName val="0"/>
              <c:showSerName val="0"/>
              <c:showPercent val="0"/>
              <c:showBubbleSize val="0"/>
            </c:dLbl>
            <c:dLbl>
              <c:idx val="9"/>
              <c:layout>
                <c:manualLayout>
                  <c:x val="4.4968921871869523E-3"/>
                  <c:y val="-6.0759500591989361E-2"/>
                </c:manualLayout>
              </c:layout>
              <c:showLegendKey val="0"/>
              <c:showVal val="1"/>
              <c:showCatName val="0"/>
              <c:showSerName val="0"/>
              <c:showPercent val="0"/>
              <c:showBubbleSize val="0"/>
            </c:dLbl>
            <c:dLbl>
              <c:idx val="10"/>
              <c:layout>
                <c:manualLayout>
                  <c:x val="8.9937843743738855E-3"/>
                  <c:y val="-7.5226048351986832E-2"/>
                </c:manualLayout>
              </c:layout>
              <c:showLegendKey val="0"/>
              <c:showVal val="1"/>
              <c:showCatName val="0"/>
              <c:showSerName val="0"/>
              <c:showPercent val="0"/>
              <c:showBubbleSize val="0"/>
            </c:dLbl>
            <c:dLbl>
              <c:idx val="11"/>
              <c:layout>
                <c:manualLayout>
                  <c:x val="2.6981353123121738E-2"/>
                  <c:y val="-5.2079571935991227E-2"/>
                </c:manualLayout>
              </c:layout>
              <c:showLegendKey val="0"/>
              <c:showVal val="1"/>
              <c:showCatName val="0"/>
              <c:showSerName val="0"/>
              <c:showPercent val="0"/>
              <c:showBubbleSize val="0"/>
            </c:dLbl>
            <c:txPr>
              <a:bodyPr/>
              <a:lstStyle/>
              <a:p>
                <a:pPr>
                  <a:defRPr lang="ru-RU"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Лист1!$A$2:$A$13</c:f>
              <c:strCache>
                <c:ptCount val="12"/>
                <c:pt idx="0">
                  <c:v>Олександрівська</c:v>
                </c:pt>
                <c:pt idx="1">
                  <c:v>Святогірська</c:v>
                </c:pt>
                <c:pt idx="2">
                  <c:v>Костянтинівська</c:v>
                </c:pt>
                <c:pt idx="3">
                  <c:v>Новодонецька</c:v>
                </c:pt>
                <c:pt idx="4">
                  <c:v>Краматорська</c:v>
                </c:pt>
                <c:pt idx="5">
                  <c:v>Дружківська</c:v>
                </c:pt>
                <c:pt idx="6">
                  <c:v>Іллінівська</c:v>
                </c:pt>
                <c:pt idx="7">
                  <c:v>Слов'янська</c:v>
                </c:pt>
                <c:pt idx="8">
                  <c:v>Лиманська</c:v>
                </c:pt>
                <c:pt idx="9">
                  <c:v>Черкаська</c:v>
                </c:pt>
                <c:pt idx="10">
                  <c:v>Миколаївська</c:v>
                </c:pt>
                <c:pt idx="11">
                  <c:v>Андріївська</c:v>
                </c:pt>
              </c:strCache>
            </c:strRef>
          </c:cat>
          <c:val>
            <c:numRef>
              <c:f>Лист1!$B$2:$B$13</c:f>
              <c:numCache>
                <c:formatCode>General</c:formatCode>
                <c:ptCount val="12"/>
                <c:pt idx="0">
                  <c:v>12494</c:v>
                </c:pt>
                <c:pt idx="1">
                  <c:v>9068</c:v>
                </c:pt>
                <c:pt idx="2">
                  <c:v>73814</c:v>
                </c:pt>
                <c:pt idx="3">
                  <c:v>10855</c:v>
                </c:pt>
                <c:pt idx="4">
                  <c:v>185858</c:v>
                </c:pt>
                <c:pt idx="5">
                  <c:v>67064</c:v>
                </c:pt>
                <c:pt idx="6">
                  <c:v>9053</c:v>
                </c:pt>
                <c:pt idx="7">
                  <c:v>116477</c:v>
                </c:pt>
                <c:pt idx="8">
                  <c:v>41720</c:v>
                </c:pt>
                <c:pt idx="9">
                  <c:v>8877</c:v>
                </c:pt>
                <c:pt idx="10">
                  <c:v>21202</c:v>
                </c:pt>
                <c:pt idx="11">
                  <c:v>2282</c:v>
                </c:pt>
              </c:numCache>
            </c:numRef>
          </c:val>
        </c:ser>
        <c:dLbls>
          <c:showLegendKey val="0"/>
          <c:showVal val="0"/>
          <c:showCatName val="0"/>
          <c:showSerName val="0"/>
          <c:showPercent val="0"/>
          <c:showBubbleSize val="0"/>
        </c:dLbls>
        <c:gapWidth val="150"/>
        <c:shape val="cylinder"/>
        <c:axId val="120058624"/>
        <c:axId val="120060544"/>
        <c:axId val="0"/>
      </c:bar3DChart>
      <c:catAx>
        <c:axId val="120058624"/>
        <c:scaling>
          <c:orientation val="minMax"/>
        </c:scaling>
        <c:delete val="0"/>
        <c:axPos val="b"/>
        <c:majorTickMark val="out"/>
        <c:minorTickMark val="none"/>
        <c:tickLblPos val="nextTo"/>
        <c:txPr>
          <a:bodyPr/>
          <a:lstStyle/>
          <a:p>
            <a:pPr>
              <a:defRPr lang="ru-RU" sz="1200" b="1">
                <a:latin typeface="Times New Roman" pitchFamily="18" charset="0"/>
                <a:cs typeface="Times New Roman" pitchFamily="18" charset="0"/>
              </a:defRPr>
            </a:pPr>
            <a:endParaRPr lang="ru-RU"/>
          </a:p>
        </c:txPr>
        <c:crossAx val="120060544"/>
        <c:crosses val="autoZero"/>
        <c:auto val="1"/>
        <c:lblAlgn val="ctr"/>
        <c:lblOffset val="100"/>
        <c:noMultiLvlLbl val="0"/>
      </c:catAx>
      <c:valAx>
        <c:axId val="120060544"/>
        <c:scaling>
          <c:orientation val="minMax"/>
        </c:scaling>
        <c:delete val="1"/>
        <c:axPos val="l"/>
        <c:numFmt formatCode="General" sourceLinked="1"/>
        <c:majorTickMark val="out"/>
        <c:minorTickMark val="none"/>
        <c:tickLblPos val="nextTo"/>
        <c:crossAx val="120058624"/>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0"/>
    <c:plotArea>
      <c:layout>
        <c:manualLayout>
          <c:layoutTarget val="inner"/>
          <c:xMode val="edge"/>
          <c:yMode val="edge"/>
          <c:x val="1.7777653349757845E-2"/>
          <c:y val="1.1613491405456441E-2"/>
          <c:w val="0.95889652565861305"/>
          <c:h val="0.82086292967537233"/>
        </c:manualLayout>
      </c:layout>
      <c:lineChart>
        <c:grouping val="stacked"/>
        <c:varyColors val="0"/>
        <c:ser>
          <c:idx val="3"/>
          <c:order val="3"/>
          <c:tx>
            <c:strRef>
              <c:f>Лист1!$B$1</c:f>
            </c:strRef>
          </c:tx>
          <c:cat>
            <c:multiLvlStrRef>
              <c:f>Лист1!$A$2:$A$16</c:f>
            </c:multiLvlStrRef>
          </c:cat>
          <c:val>
            <c:numRef>
              <c:f>Лист1!$B$2:$B$16</c:f>
            </c:numRef>
          </c:val>
          <c:smooth val="0"/>
        </c:ser>
        <c:ser>
          <c:idx val="4"/>
          <c:order val="4"/>
          <c:tx>
            <c:strRef>
              <c:f>Лист1!$C$1</c:f>
            </c:strRef>
          </c:tx>
          <c:cat>
            <c:multiLvlStrRef>
              <c:f>Лист1!$A$2:$A$16</c:f>
            </c:multiLvlStrRef>
          </c:cat>
          <c:val>
            <c:numRef>
              <c:f>Лист1!$C$2:$C$16</c:f>
            </c:numRef>
          </c:val>
          <c:smooth val="0"/>
        </c:ser>
        <c:ser>
          <c:idx val="5"/>
          <c:order val="5"/>
          <c:tx>
            <c:strRef>
              <c:f>Лист1!$D$1</c:f>
            </c:strRef>
          </c:tx>
          <c:spPr>
            <a:ln w="66675">
              <a:noFill/>
            </a:ln>
          </c:spPr>
          <c:cat>
            <c:multiLvlStrRef>
              <c:f>Лист1!$A$2:$A$16</c:f>
            </c:multiLvlStrRef>
          </c:cat>
          <c:val>
            <c:numRef>
              <c:f>Лист1!$D$2:$D$16</c:f>
            </c:numRef>
          </c:val>
          <c:smooth val="0"/>
        </c:ser>
        <c:ser>
          <c:idx val="6"/>
          <c:order val="6"/>
          <c:tx>
            <c:strRef>
              <c:f>Лист1!$B$1</c:f>
            </c:strRef>
          </c:tx>
          <c:cat>
            <c:multiLvlStrRef>
              <c:f>Лист1!$A$2:$A$9</c:f>
            </c:multiLvlStrRef>
          </c:cat>
          <c:val>
            <c:numRef>
              <c:f>Лист1!$B$2:$B$9</c:f>
            </c:numRef>
          </c:val>
          <c:smooth val="0"/>
        </c:ser>
        <c:ser>
          <c:idx val="7"/>
          <c:order val="7"/>
          <c:tx>
            <c:strRef>
              <c:f>Лист1!$C$1</c:f>
            </c:strRef>
          </c:tx>
          <c:spPr>
            <a:ln w="66675">
              <a:noFill/>
            </a:ln>
          </c:spPr>
          <c:cat>
            <c:multiLvlStrRef>
              <c:f>Лист1!$A$2:$A$9</c:f>
            </c:multiLvlStrRef>
          </c:cat>
          <c:val>
            <c:numRef>
              <c:f>Лист1!$C$2:$C$9</c:f>
            </c:numRef>
          </c:val>
          <c:smooth val="0"/>
        </c:ser>
        <c:ser>
          <c:idx val="8"/>
          <c:order val="8"/>
          <c:tx>
            <c:strRef>
              <c:f>Лист1!$D$1</c:f>
            </c:strRef>
          </c:tx>
          <c:spPr>
            <a:ln w="66675">
              <a:noFill/>
            </a:ln>
          </c:spPr>
          <c:cat>
            <c:multiLvlStrRef>
              <c:f>Лист1!$A$2:$A$9</c:f>
            </c:multiLvlStrRef>
          </c:cat>
          <c:val>
            <c:numRef>
              <c:f>Лист1!$D$2:$D$9</c:f>
            </c:numRef>
          </c:val>
          <c:smooth val="0"/>
        </c:ser>
        <c:ser>
          <c:idx val="0"/>
          <c:order val="0"/>
          <c:tx>
            <c:strRef>
              <c:f>Лист1!$B$1</c:f>
              <c:strCache>
                <c:ptCount val="1"/>
                <c:pt idx="0">
                  <c:v>Україна</c:v>
                </c:pt>
              </c:strCache>
            </c:strRef>
          </c:tx>
          <c:marker>
            <c:spPr>
              <a:solidFill>
                <a:srgbClr val="FFFF00"/>
              </a:solidFill>
            </c:spPr>
          </c:marker>
          <c:dLbls>
            <c:dLbl>
              <c:idx val="0"/>
              <c:layout>
                <c:manualLayout>
                  <c:x val="7.4073555623990969E-3"/>
                  <c:y val="2.962954986773484E-2"/>
                </c:manualLayout>
              </c:layout>
              <c:showLegendKey val="0"/>
              <c:showVal val="1"/>
              <c:showCatName val="0"/>
              <c:showSerName val="0"/>
              <c:showPercent val="0"/>
              <c:showBubbleSize val="0"/>
            </c:dLbl>
            <c:dLbl>
              <c:idx val="1"/>
              <c:layout>
                <c:manualLayout>
                  <c:x val="0"/>
                  <c:y val="4.3304726729766332E-2"/>
                </c:manualLayout>
              </c:layout>
              <c:showLegendKey val="0"/>
              <c:showVal val="1"/>
              <c:showCatName val="0"/>
              <c:showSerName val="0"/>
              <c:showPercent val="0"/>
              <c:showBubbleSize val="0"/>
            </c:dLbl>
            <c:dLbl>
              <c:idx val="2"/>
              <c:layout>
                <c:manualLayout>
                  <c:x val="-8.8888266748789746E-3"/>
                  <c:y val="4.1025530586094275E-2"/>
                </c:manualLayout>
              </c:layout>
              <c:showLegendKey val="0"/>
              <c:showVal val="1"/>
              <c:showCatName val="0"/>
              <c:showSerName val="0"/>
              <c:showPercent val="0"/>
              <c:showBubbleSize val="0"/>
            </c:dLbl>
            <c:dLbl>
              <c:idx val="3"/>
              <c:layout>
                <c:manualLayout>
                  <c:x val="7.4073555623990969E-3"/>
                  <c:y val="3.6467138298750611E-2"/>
                </c:manualLayout>
              </c:layout>
              <c:showLegendKey val="0"/>
              <c:showVal val="1"/>
              <c:showCatName val="0"/>
              <c:showSerName val="0"/>
              <c:showPercent val="0"/>
              <c:showBubbleSize val="0"/>
            </c:dLbl>
            <c:txPr>
              <a:bodyPr/>
              <a:lstStyle/>
              <a:p>
                <a:pPr>
                  <a:defRPr lang="ru-RU"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5183</c:v>
                </c:pt>
                <c:pt idx="1">
                  <c:v>7104</c:v>
                </c:pt>
                <c:pt idx="2">
                  <c:v>8865</c:v>
                </c:pt>
                <c:pt idx="3">
                  <c:v>10497</c:v>
                </c:pt>
                <c:pt idx="4">
                  <c:v>12497</c:v>
                </c:pt>
              </c:numCache>
            </c:numRef>
          </c:val>
          <c:smooth val="0"/>
        </c:ser>
        <c:ser>
          <c:idx val="1"/>
          <c:order val="1"/>
          <c:tx>
            <c:strRef>
              <c:f>Лист1!$C$1</c:f>
              <c:strCache>
                <c:ptCount val="1"/>
                <c:pt idx="0">
                  <c:v>Донецька область</c:v>
                </c:pt>
              </c:strCache>
            </c:strRef>
          </c:tx>
          <c:marker>
            <c:spPr>
              <a:solidFill>
                <a:srgbClr val="0070C0"/>
              </a:solidFill>
            </c:spPr>
          </c:marker>
          <c:dLbls>
            <c:dLbl>
              <c:idx val="0"/>
              <c:layout>
                <c:manualLayout>
                  <c:x val="7.4073555623990969E-3"/>
                  <c:y val="2.2791961436719563E-2"/>
                </c:manualLayout>
              </c:layout>
              <c:showLegendKey val="0"/>
              <c:showVal val="1"/>
              <c:showCatName val="0"/>
              <c:showSerName val="0"/>
              <c:showPercent val="0"/>
              <c:showBubbleSize val="0"/>
            </c:dLbl>
            <c:dLbl>
              <c:idx val="1"/>
              <c:layout>
                <c:manualLayout>
                  <c:x val="0"/>
                  <c:y val="2.279196143671949E-2"/>
                </c:manualLayout>
              </c:layout>
              <c:showLegendKey val="0"/>
              <c:showVal val="1"/>
              <c:showCatName val="0"/>
              <c:showSerName val="0"/>
              <c:showPercent val="0"/>
              <c:showBubbleSize val="0"/>
            </c:dLbl>
            <c:dLbl>
              <c:idx val="2"/>
              <c:layout>
                <c:manualLayout>
                  <c:x val="0"/>
                  <c:y val="2.0512765293047183E-2"/>
                </c:manualLayout>
              </c:layout>
              <c:showLegendKey val="0"/>
              <c:showVal val="1"/>
              <c:showCatName val="0"/>
              <c:showSerName val="0"/>
              <c:showPercent val="0"/>
              <c:showBubbleSize val="0"/>
            </c:dLbl>
            <c:dLbl>
              <c:idx val="3"/>
              <c:layout>
                <c:manualLayout>
                  <c:x val="0"/>
                  <c:y val="3.1908746011406711E-2"/>
                </c:manualLayout>
              </c:layout>
              <c:showLegendKey val="0"/>
              <c:showVal val="1"/>
              <c:showCatName val="0"/>
              <c:showSerName val="0"/>
              <c:showPercent val="0"/>
              <c:showBubbleSize val="0"/>
            </c:dLbl>
            <c:txPr>
              <a:bodyPr/>
              <a:lstStyle/>
              <a:p>
                <a:pPr>
                  <a:defRPr lang="ru-RU"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5989</c:v>
                </c:pt>
                <c:pt idx="1">
                  <c:v>7764</c:v>
                </c:pt>
                <c:pt idx="2">
                  <c:v>9686</c:v>
                </c:pt>
                <c:pt idx="3">
                  <c:v>11716</c:v>
                </c:pt>
                <c:pt idx="4">
                  <c:v>13681</c:v>
                </c:pt>
              </c:numCache>
            </c:numRef>
          </c:val>
          <c:smooth val="0"/>
        </c:ser>
        <c:ser>
          <c:idx val="2"/>
          <c:order val="2"/>
          <c:tx>
            <c:strRef>
              <c:f>Лист1!$D$1</c:f>
              <c:strCache>
                <c:ptCount val="1"/>
                <c:pt idx="0">
                  <c:v>Костянтинівка</c:v>
                </c:pt>
              </c:strCache>
            </c:strRef>
          </c:tx>
          <c:marker>
            <c:spPr>
              <a:solidFill>
                <a:srgbClr val="FF0000"/>
              </a:solidFill>
            </c:spPr>
          </c:marker>
          <c:dLbls>
            <c:dLbl>
              <c:idx val="0"/>
              <c:layout>
                <c:manualLayout>
                  <c:x val="-5.1851488936793734E-2"/>
                  <c:y val="-4.5583922873438924E-2"/>
                </c:manualLayout>
              </c:layout>
              <c:showLegendKey val="0"/>
              <c:showVal val="1"/>
              <c:showCatName val="0"/>
              <c:showSerName val="0"/>
              <c:showPercent val="0"/>
              <c:showBubbleSize val="0"/>
            </c:dLbl>
            <c:dLbl>
              <c:idx val="1"/>
              <c:layout>
                <c:manualLayout>
                  <c:x val="-5.1851488936793734E-2"/>
                  <c:y val="-5.0142315160781985E-2"/>
                </c:manualLayout>
              </c:layout>
              <c:showLegendKey val="0"/>
              <c:showVal val="1"/>
              <c:showCatName val="0"/>
              <c:showSerName val="0"/>
              <c:showPercent val="0"/>
              <c:showBubbleSize val="0"/>
            </c:dLbl>
            <c:dLbl>
              <c:idx val="2"/>
              <c:layout>
                <c:manualLayout>
                  <c:x val="-5.1851488936793734E-2"/>
                  <c:y val="-4.1025530586094365E-2"/>
                </c:manualLayout>
              </c:layout>
              <c:showLegendKey val="0"/>
              <c:showVal val="1"/>
              <c:showCatName val="0"/>
              <c:showSerName val="0"/>
              <c:showPercent val="0"/>
              <c:showBubbleSize val="0"/>
            </c:dLbl>
            <c:dLbl>
              <c:idx val="3"/>
              <c:layout>
                <c:manualLayout>
                  <c:x val="-5.1851488936793734E-2"/>
                  <c:y val="-3.6467138298750611E-2"/>
                </c:manualLayout>
              </c:layout>
              <c:showLegendKey val="0"/>
              <c:showVal val="1"/>
              <c:showCatName val="0"/>
              <c:showSerName val="0"/>
              <c:showPercent val="0"/>
              <c:showBubbleSize val="0"/>
            </c:dLbl>
            <c:txPr>
              <a:bodyPr/>
              <a:lstStyle/>
              <a:p>
                <a:pPr>
                  <a:defRPr lang="ru-RU"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Лист1!$A$2:$A$6</c:f>
              <c:numCache>
                <c:formatCode>General</c:formatCode>
                <c:ptCount val="5"/>
                <c:pt idx="0">
                  <c:v>2016</c:v>
                </c:pt>
                <c:pt idx="1">
                  <c:v>2017</c:v>
                </c:pt>
                <c:pt idx="2">
                  <c:v>2018</c:v>
                </c:pt>
                <c:pt idx="3">
                  <c:v>2019</c:v>
                </c:pt>
                <c:pt idx="4">
                  <c:v>2020</c:v>
                </c:pt>
              </c:numCache>
            </c:numRef>
          </c:cat>
          <c:val>
            <c:numRef>
              <c:f>Лист1!$D$2:$D$6</c:f>
              <c:numCache>
                <c:formatCode>General</c:formatCode>
                <c:ptCount val="5"/>
                <c:pt idx="0">
                  <c:v>3952</c:v>
                </c:pt>
                <c:pt idx="1">
                  <c:v>6212</c:v>
                </c:pt>
                <c:pt idx="2">
                  <c:v>7346</c:v>
                </c:pt>
                <c:pt idx="3">
                  <c:v>8929</c:v>
                </c:pt>
                <c:pt idx="4">
                  <c:v>10291</c:v>
                </c:pt>
              </c:numCache>
            </c:numRef>
          </c:val>
          <c:smooth val="0"/>
        </c:ser>
        <c:dLbls>
          <c:showLegendKey val="0"/>
          <c:showVal val="0"/>
          <c:showCatName val="0"/>
          <c:showSerName val="0"/>
          <c:showPercent val="0"/>
          <c:showBubbleSize val="0"/>
        </c:dLbls>
        <c:marker val="1"/>
        <c:smooth val="0"/>
        <c:axId val="110908544"/>
        <c:axId val="110910080"/>
      </c:lineChart>
      <c:catAx>
        <c:axId val="110908544"/>
        <c:scaling>
          <c:orientation val="minMax"/>
        </c:scaling>
        <c:delete val="0"/>
        <c:axPos val="b"/>
        <c:numFmt formatCode="General" sourceLinked="1"/>
        <c:majorTickMark val="out"/>
        <c:minorTickMark val="none"/>
        <c:tickLblPos val="nextTo"/>
        <c:txPr>
          <a:bodyPr/>
          <a:lstStyle/>
          <a:p>
            <a:pPr>
              <a:defRPr lang="ru-RU" sz="1100" b="1">
                <a:latin typeface="Times New Roman" pitchFamily="18" charset="0"/>
                <a:cs typeface="Times New Roman" pitchFamily="18" charset="0"/>
              </a:defRPr>
            </a:pPr>
            <a:endParaRPr lang="ru-RU"/>
          </a:p>
        </c:txPr>
        <c:crossAx val="110910080"/>
        <c:crosses val="autoZero"/>
        <c:auto val="1"/>
        <c:lblAlgn val="ctr"/>
        <c:lblOffset val="100"/>
        <c:noMultiLvlLbl val="0"/>
      </c:catAx>
      <c:valAx>
        <c:axId val="110910080"/>
        <c:scaling>
          <c:orientation val="minMax"/>
        </c:scaling>
        <c:delete val="1"/>
        <c:axPos val="l"/>
        <c:numFmt formatCode="General" sourceLinked="1"/>
        <c:majorTickMark val="out"/>
        <c:minorTickMark val="none"/>
        <c:tickLblPos val="nextTo"/>
        <c:crossAx val="110908544"/>
        <c:crosses val="autoZero"/>
        <c:crossBetween val="between"/>
      </c:valAx>
    </c:plotArea>
    <c:legend>
      <c:legendPos val="r"/>
      <c:layout>
        <c:manualLayout>
          <c:xMode val="edge"/>
          <c:yMode val="edge"/>
          <c:x val="0"/>
          <c:y val="0.91160459356679113"/>
          <c:w val="0.99220792855343098"/>
          <c:h val="7.3328798210576501E-2"/>
        </c:manualLayout>
      </c:layout>
      <c:overlay val="0"/>
      <c:txPr>
        <a:bodyPr/>
        <a:lstStyle/>
        <a:p>
          <a:pPr>
            <a:defRPr lang="ru-RU" sz="1100">
              <a:latin typeface="Times New Roman" pitchFamily="18" charset="0"/>
              <a:cs typeface="Times New Roman" pitchFamily="18" charset="0"/>
            </a:defRPr>
          </a:pPr>
          <a:endParaRPr lang="ru-RU"/>
        </a:p>
      </c:txPr>
    </c:legend>
    <c:plotVisOnly val="1"/>
    <c:dispBlanksAs val="zero"/>
    <c:showDLblsOverMax val="0"/>
  </c:chart>
  <c:txPr>
    <a:bodyPr/>
    <a:lstStyle/>
    <a:p>
      <a:pPr>
        <a:defRPr sz="1800"/>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1"/>
    </c:view3D>
    <c:floor>
      <c:thickness val="0"/>
    </c:floor>
    <c:sideWall>
      <c:thickness val="0"/>
    </c:sideWall>
    <c:backWall>
      <c:thickness val="0"/>
    </c:backWall>
    <c:plotArea>
      <c:layout>
        <c:manualLayout>
          <c:layoutTarget val="inner"/>
          <c:xMode val="edge"/>
          <c:yMode val="edge"/>
          <c:x val="0.2527198471604058"/>
          <c:y val="0.11158255277640022"/>
          <c:w val="0.74728015283959615"/>
          <c:h val="0.7212189987404819"/>
        </c:manualLayout>
      </c:layout>
      <c:pie3DChart>
        <c:varyColors val="1"/>
        <c:ser>
          <c:idx val="1"/>
          <c:order val="1"/>
          <c:tx>
            <c:strRef>
              <c:f>Лист1!$B$1</c:f>
            </c:strRef>
          </c:tx>
          <c:cat>
            <c:multiLvlStrRef>
              <c:f>Лист1!$A$2:$A$16</c:f>
            </c:multiLvlStrRef>
          </c:cat>
          <c:val>
            <c:numRef>
              <c:f>Лист1!$B$2:$B$16</c:f>
            </c:numRef>
          </c:val>
        </c:ser>
        <c:ser>
          <c:idx val="2"/>
          <c:order val="2"/>
          <c:tx>
            <c:strRef>
              <c:f>Лист1!$C$1</c:f>
            </c:strRef>
          </c:tx>
          <c:cat>
            <c:multiLvlStrRef>
              <c:f>Лист1!$A$2:$A$16</c:f>
            </c:multiLvlStrRef>
          </c:cat>
          <c:val>
            <c:numRef>
              <c:f>Лист1!$C$2:$C$16</c:f>
            </c:numRef>
          </c:val>
        </c:ser>
        <c:ser>
          <c:idx val="3"/>
          <c:order val="3"/>
          <c:tx>
            <c:strRef>
              <c:f>Лист1!$D$1</c:f>
            </c:strRef>
          </c:tx>
          <c:spPr>
            <a:ln w="66675">
              <a:noFill/>
            </a:ln>
          </c:spPr>
          <c:cat>
            <c:multiLvlStrRef>
              <c:f>Лист1!$A$2:$A$16</c:f>
            </c:multiLvlStrRef>
          </c:cat>
          <c:val>
            <c:numRef>
              <c:f>Лист1!$D$2:$D$16</c:f>
            </c:numRef>
          </c:val>
        </c:ser>
        <c:ser>
          <c:idx val="4"/>
          <c:order val="4"/>
          <c:tx>
            <c:strRef>
              <c:f>Лист1!$B$1</c:f>
            </c:strRef>
          </c:tx>
          <c:cat>
            <c:multiLvlStrRef>
              <c:f>Лист1!$A$2:$A$9</c:f>
            </c:multiLvlStrRef>
          </c:cat>
          <c:val>
            <c:numRef>
              <c:f>Лист1!$B$2:$B$9</c:f>
            </c:numRef>
          </c:val>
        </c:ser>
        <c:ser>
          <c:idx val="5"/>
          <c:order val="5"/>
          <c:tx>
            <c:strRef>
              <c:f>Лист1!$C$1</c:f>
            </c:strRef>
          </c:tx>
          <c:spPr>
            <a:ln w="66675">
              <a:noFill/>
            </a:ln>
          </c:spPr>
          <c:cat>
            <c:multiLvlStrRef>
              <c:f>Лист1!$A$2:$A$9</c:f>
            </c:multiLvlStrRef>
          </c:cat>
          <c:val>
            <c:numRef>
              <c:f>Лист1!$C$2:$C$9</c:f>
            </c:numRef>
          </c:val>
        </c:ser>
        <c:ser>
          <c:idx val="6"/>
          <c:order val="6"/>
          <c:tx>
            <c:strRef>
              <c:f>Лист1!$D$1</c:f>
            </c:strRef>
          </c:tx>
          <c:spPr>
            <a:ln w="66675">
              <a:noFill/>
            </a:ln>
          </c:spPr>
          <c:cat>
            <c:multiLvlStrRef>
              <c:f>Лист1!$A$2:$A$9</c:f>
            </c:multiLvlStrRef>
          </c:cat>
          <c:val>
            <c:numRef>
              <c:f>Лист1!$D$2:$D$9</c:f>
            </c:numRef>
          </c:val>
        </c:ser>
        <c:ser>
          <c:idx val="7"/>
          <c:order val="7"/>
          <c:tx>
            <c:strRef>
              <c:f>Лист1!$B$1</c:f>
            </c:strRef>
          </c:tx>
          <c:cat>
            <c:multiLvlStrRef>
              <c:f>Лист1!$A$2:$A$6</c:f>
            </c:multiLvlStrRef>
          </c:cat>
          <c:val>
            <c:numRef>
              <c:f>Лист1!$B$2:$B$6</c:f>
            </c:numRef>
          </c:val>
        </c:ser>
        <c:ser>
          <c:idx val="8"/>
          <c:order val="8"/>
          <c:tx>
            <c:strRef>
              <c:f>Лист1!$C$1</c:f>
            </c:strRef>
          </c:tx>
          <c:cat>
            <c:multiLvlStrRef>
              <c:f>Лист1!$A$2:$A$6</c:f>
            </c:multiLvlStrRef>
          </c:cat>
          <c:val>
            <c:numRef>
              <c:f>Лист1!$C$2:$C$6</c:f>
            </c:numRef>
          </c:val>
        </c:ser>
        <c:ser>
          <c:idx val="9"/>
          <c:order val="9"/>
          <c:tx>
            <c:strRef>
              <c:f>Лист1!$D$1</c:f>
            </c:strRef>
          </c:tx>
          <c:cat>
            <c:multiLvlStrRef>
              <c:f>Лист1!$A$2:$A$6</c:f>
            </c:multiLvlStrRef>
          </c:cat>
          <c:val>
            <c:numRef>
              <c:f>Лист1!$D$2:$D$6</c:f>
            </c:numRef>
          </c:val>
        </c:ser>
        <c:ser>
          <c:idx val="0"/>
          <c:order val="0"/>
          <c:tx>
            <c:strRef>
              <c:f>Лист1!$B$1</c:f>
              <c:strCache>
                <c:ptCount val="1"/>
                <c:pt idx="0">
                  <c:v>Ряд 1</c:v>
                </c:pt>
              </c:strCache>
            </c:strRef>
          </c:tx>
          <c:dPt>
            <c:idx val="0"/>
            <c:bubble3D val="0"/>
            <c:spPr>
              <a:solidFill>
                <a:schemeClr val="accent4">
                  <a:lumMod val="60000"/>
                  <a:lumOff val="40000"/>
                </a:schemeClr>
              </a:solidFill>
            </c:spPr>
          </c:dPt>
          <c:dPt>
            <c:idx val="1"/>
            <c:bubble3D val="0"/>
            <c:spPr>
              <a:solidFill>
                <a:srgbClr val="FF0000"/>
              </a:solidFill>
            </c:spPr>
          </c:dPt>
          <c:dPt>
            <c:idx val="2"/>
            <c:bubble3D val="0"/>
            <c:spPr>
              <a:solidFill>
                <a:srgbClr val="FFC000"/>
              </a:solidFill>
            </c:spPr>
          </c:dPt>
          <c:dPt>
            <c:idx val="7"/>
            <c:bubble3D val="0"/>
            <c:spPr>
              <a:solidFill>
                <a:srgbClr val="7030A0"/>
              </a:solidFill>
            </c:spPr>
          </c:dPt>
          <c:dLbls>
            <c:dLbl>
              <c:idx val="0"/>
              <c:layout>
                <c:manualLayout>
                  <c:x val="0.14571847007998426"/>
                  <c:y val="8.2800045177608264E-2"/>
                </c:manualLayout>
              </c:layout>
              <c:tx>
                <c:rich>
                  <a:bodyPr/>
                  <a:lstStyle/>
                  <a:p>
                    <a:r>
                      <a:rPr lang="uk-UA" sz="1100" dirty="0" smtClean="0"/>
                      <a:t>Костянтинівка 14 %</a:t>
                    </a:r>
                    <a:endParaRPr lang="uk-UA" sz="1100" dirty="0"/>
                  </a:p>
                </c:rich>
              </c:tx>
              <c:dLblPos val="outEnd"/>
              <c:showLegendKey val="0"/>
              <c:showVal val="1"/>
              <c:showCatName val="1"/>
              <c:showSerName val="0"/>
              <c:showPercent val="0"/>
              <c:showBubbleSize val="0"/>
            </c:dLbl>
            <c:dLbl>
              <c:idx val="1"/>
              <c:layout>
                <c:manualLayout>
                  <c:x val="0"/>
                  <c:y val="0.11891891891891893"/>
                </c:manualLayout>
              </c:layout>
              <c:tx>
                <c:rich>
                  <a:bodyPr/>
                  <a:lstStyle/>
                  <a:p>
                    <a:r>
                      <a:rPr lang="uk-UA" sz="1100" dirty="0" smtClean="0"/>
                      <a:t>Іванопільський               33 %</a:t>
                    </a:r>
                    <a:endParaRPr lang="uk-UA" sz="1100" dirty="0"/>
                  </a:p>
                </c:rich>
              </c:tx>
              <c:dLblPos val="outEnd"/>
              <c:showLegendKey val="0"/>
              <c:showVal val="1"/>
              <c:showCatName val="1"/>
              <c:showSerName val="0"/>
              <c:showPercent val="0"/>
              <c:showBubbleSize val="0"/>
            </c:dLbl>
            <c:dLbl>
              <c:idx val="2"/>
              <c:layout>
                <c:manualLayout>
                  <c:x val="0.1450480771887509"/>
                  <c:y val="-1.9458027769329918E-7"/>
                </c:manualLayout>
              </c:layout>
              <c:tx>
                <c:rich>
                  <a:bodyPr/>
                  <a:lstStyle/>
                  <a:p>
                    <a:r>
                      <a:rPr lang="uk-UA" sz="1100" dirty="0" err="1" smtClean="0"/>
                      <a:t>Предтечинський</a:t>
                    </a:r>
                    <a:r>
                      <a:rPr lang="uk-UA" sz="1100" dirty="0" smtClean="0"/>
                      <a:t>                7 %</a:t>
                    </a:r>
                    <a:endParaRPr lang="uk-UA" sz="1100" dirty="0"/>
                  </a:p>
                </c:rich>
              </c:tx>
              <c:dLblPos val="outEnd"/>
              <c:showLegendKey val="0"/>
              <c:showVal val="1"/>
              <c:showCatName val="1"/>
              <c:showSerName val="0"/>
              <c:showPercent val="0"/>
              <c:showBubbleSize val="0"/>
            </c:dLbl>
            <c:dLbl>
              <c:idx val="3"/>
              <c:layout>
                <c:manualLayout>
                  <c:x val="-9.9283533510581681E-2"/>
                  <c:y val="-8.7890611483358184E-3"/>
                </c:manualLayout>
              </c:layout>
              <c:tx>
                <c:rich>
                  <a:bodyPr/>
                  <a:lstStyle/>
                  <a:p>
                    <a:r>
                      <a:rPr lang="uk-UA" sz="1100" dirty="0" smtClean="0"/>
                      <a:t>Миколаївський                4 %</a:t>
                    </a:r>
                    <a:endParaRPr lang="uk-UA" sz="1100" dirty="0"/>
                  </a:p>
                </c:rich>
              </c:tx>
              <c:dLblPos val="outEnd"/>
              <c:showLegendKey val="0"/>
              <c:showVal val="1"/>
              <c:showCatName val="1"/>
              <c:showSerName val="0"/>
              <c:showPercent val="0"/>
              <c:showBubbleSize val="0"/>
            </c:dLbl>
            <c:dLbl>
              <c:idx val="4"/>
              <c:layout>
                <c:manualLayout>
                  <c:x val="-9.1447018853207579E-2"/>
                  <c:y val="-7.7486762197532894E-2"/>
                </c:manualLayout>
              </c:layout>
              <c:tx>
                <c:rich>
                  <a:bodyPr/>
                  <a:lstStyle/>
                  <a:p>
                    <a:pPr>
                      <a:defRPr lang="ru-RU" sz="1000" b="1">
                        <a:latin typeface="Times New Roman" pitchFamily="18" charset="0"/>
                        <a:cs typeface="Times New Roman" pitchFamily="18" charset="0"/>
                      </a:defRPr>
                    </a:pPr>
                    <a:r>
                      <a:rPr lang="uk-UA" sz="1000" dirty="0" err="1" smtClean="0"/>
                      <a:t>Марківський</a:t>
                    </a:r>
                    <a:r>
                      <a:rPr lang="uk-UA" sz="1000" dirty="0" smtClean="0"/>
                      <a:t> 11 %</a:t>
                    </a:r>
                    <a:endParaRPr lang="uk-UA" sz="1000" dirty="0"/>
                  </a:p>
                </c:rich>
              </c:tx>
              <c:spPr/>
              <c:dLblPos val="outEnd"/>
              <c:showLegendKey val="0"/>
              <c:showVal val="1"/>
              <c:showCatName val="1"/>
              <c:showSerName val="0"/>
              <c:showPercent val="0"/>
              <c:showBubbleSize val="0"/>
            </c:dLbl>
            <c:dLbl>
              <c:idx val="5"/>
              <c:layout>
                <c:manualLayout>
                  <c:x val="-4.4830168887973802E-2"/>
                  <c:y val="-5.2606567943134029E-2"/>
                </c:manualLayout>
              </c:layout>
              <c:tx>
                <c:rich>
                  <a:bodyPr/>
                  <a:lstStyle/>
                  <a:p>
                    <a:r>
                      <a:rPr lang="uk-UA" sz="1100" dirty="0" err="1" smtClean="0"/>
                      <a:t>Віролюбівський</a:t>
                    </a:r>
                    <a:r>
                      <a:rPr lang="uk-UA" sz="1100" dirty="0" smtClean="0"/>
                      <a:t> </a:t>
                    </a:r>
                  </a:p>
                  <a:p>
                    <a:r>
                      <a:rPr lang="uk-UA" sz="1100" dirty="0" smtClean="0"/>
                      <a:t>6 %</a:t>
                    </a:r>
                    <a:endParaRPr lang="uk-UA" sz="1100" dirty="0"/>
                  </a:p>
                </c:rich>
              </c:tx>
              <c:dLblPos val="outEnd"/>
              <c:showLegendKey val="0"/>
              <c:showVal val="1"/>
              <c:showCatName val="1"/>
              <c:showSerName val="0"/>
              <c:showPercent val="0"/>
              <c:showBubbleSize val="0"/>
            </c:dLbl>
            <c:dLbl>
              <c:idx val="6"/>
              <c:layout>
                <c:manualLayout>
                  <c:x val="-6.127849975126301E-2"/>
                  <c:y val="-1.6919288736575923E-2"/>
                </c:manualLayout>
              </c:layout>
              <c:tx>
                <c:rich>
                  <a:bodyPr/>
                  <a:lstStyle/>
                  <a:p>
                    <a:r>
                      <a:rPr lang="uk-UA" sz="1100" dirty="0" err="1" smtClean="0"/>
                      <a:t>Білокузьминівський</a:t>
                    </a:r>
                    <a:r>
                      <a:rPr lang="uk-UA" sz="1100" dirty="0" smtClean="0"/>
                      <a:t> 14 %</a:t>
                    </a:r>
                    <a:endParaRPr lang="uk-UA" sz="1100" dirty="0"/>
                  </a:p>
                </c:rich>
              </c:tx>
              <c:dLblPos val="outEnd"/>
              <c:showLegendKey val="0"/>
              <c:showVal val="1"/>
              <c:showCatName val="1"/>
              <c:showSerName val="0"/>
              <c:showPercent val="0"/>
              <c:showBubbleSize val="0"/>
            </c:dLbl>
            <c:dLbl>
              <c:idx val="7"/>
              <c:layout>
                <c:manualLayout>
                  <c:x val="-0.32354520390833497"/>
                  <c:y val="3.7207216186584437E-2"/>
                </c:manualLayout>
              </c:layout>
              <c:tx>
                <c:rich>
                  <a:bodyPr/>
                  <a:lstStyle/>
                  <a:p>
                    <a:r>
                      <a:rPr lang="uk-UA" sz="1100" dirty="0" err="1" smtClean="0"/>
                      <a:t>Новодмитрівський</a:t>
                    </a:r>
                    <a:r>
                      <a:rPr lang="uk-UA" sz="1100" dirty="0" smtClean="0"/>
                      <a:t> 11 %</a:t>
                    </a:r>
                    <a:endParaRPr lang="uk-UA" sz="1100" dirty="0"/>
                  </a:p>
                </c:rich>
              </c:tx>
              <c:dLblPos val="outEnd"/>
              <c:showLegendKey val="0"/>
              <c:showVal val="1"/>
              <c:showCatName val="1"/>
              <c:showSerName val="0"/>
              <c:showPercent val="0"/>
              <c:showBubbleSize val="0"/>
            </c:dLbl>
            <c:txPr>
              <a:bodyPr/>
              <a:lstStyle/>
              <a:p>
                <a:pPr>
                  <a:defRPr lang="ru-RU" sz="1100" b="1">
                    <a:latin typeface="Times New Roman" pitchFamily="18" charset="0"/>
                    <a:cs typeface="Times New Roman" pitchFamily="18" charset="0"/>
                  </a:defRPr>
                </a:pPr>
                <a:endParaRPr lang="ru-RU"/>
              </a:p>
            </c:txPr>
            <c:dLblPos val="outEnd"/>
            <c:showLegendKey val="0"/>
            <c:showVal val="1"/>
            <c:showCatName val="1"/>
            <c:showSerName val="0"/>
            <c:showPercent val="0"/>
            <c:showBubbleSize val="0"/>
            <c:showLeaderLines val="1"/>
          </c:dLbls>
          <c:cat>
            <c:strRef>
              <c:f>Лист1!$A$2:$A$9</c:f>
              <c:strCache>
                <c:ptCount val="8"/>
                <c:pt idx="0">
                  <c:v>Костянтинівка</c:v>
                </c:pt>
                <c:pt idx="1">
                  <c:v>Іванопільський</c:v>
                </c:pt>
                <c:pt idx="2">
                  <c:v>Предтечинський</c:v>
                </c:pt>
                <c:pt idx="3">
                  <c:v>Миколаївський</c:v>
                </c:pt>
                <c:pt idx="4">
                  <c:v>Марковський</c:v>
                </c:pt>
                <c:pt idx="5">
                  <c:v>Віролюбівський</c:v>
                </c:pt>
                <c:pt idx="6">
                  <c:v>Білокузьминівський</c:v>
                </c:pt>
                <c:pt idx="7">
                  <c:v>Новодмитрівський</c:v>
                </c:pt>
              </c:strCache>
            </c:strRef>
          </c:cat>
          <c:val>
            <c:numRef>
              <c:f>Лист1!$B$2:$B$9</c:f>
              <c:numCache>
                <c:formatCode>General</c:formatCode>
                <c:ptCount val="8"/>
                <c:pt idx="0">
                  <c:v>14</c:v>
                </c:pt>
                <c:pt idx="1">
                  <c:v>33</c:v>
                </c:pt>
                <c:pt idx="2">
                  <c:v>7</c:v>
                </c:pt>
                <c:pt idx="3">
                  <c:v>4</c:v>
                </c:pt>
                <c:pt idx="4">
                  <c:v>11</c:v>
                </c:pt>
                <c:pt idx="5">
                  <c:v>6</c:v>
                </c:pt>
                <c:pt idx="6">
                  <c:v>14</c:v>
                </c:pt>
                <c:pt idx="7">
                  <c:v>11</c:v>
                </c:pt>
              </c:numCache>
            </c:numRef>
          </c:val>
        </c:ser>
        <c:dLbls>
          <c:showLegendKey val="0"/>
          <c:showVal val="0"/>
          <c:showCatName val="0"/>
          <c:showSerName val="0"/>
          <c:showPercent val="0"/>
          <c:showBubbleSize val="0"/>
          <c:showLeaderLines val="1"/>
        </c:dLbls>
      </c:pie3DChart>
    </c:plotArea>
    <c:plotVisOnly val="1"/>
    <c:dispBlanksAs val="zero"/>
    <c:showDLblsOverMax val="0"/>
  </c:chart>
  <c:txPr>
    <a:bodyPr/>
    <a:lstStyle/>
    <a:p>
      <a:pPr>
        <a:defRPr sz="1800"/>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2830985996031545E-2"/>
          <c:y val="0.24689387096179541"/>
          <c:w val="0.83054683524036621"/>
          <c:h val="0.64864306839040908"/>
        </c:manualLayout>
      </c:layout>
      <c:pie3DChart>
        <c:varyColors val="1"/>
        <c:ser>
          <c:idx val="0"/>
          <c:order val="0"/>
          <c:tx>
            <c:strRef>
              <c:f>'[Диаграмма в Microsoft Office PowerPoint]Лист1'!$B$1</c:f>
              <c:strCache>
                <c:ptCount val="1"/>
                <c:pt idx="0">
                  <c:v>Продажи</c:v>
                </c:pt>
              </c:strCache>
            </c:strRef>
          </c:tx>
          <c:explosion val="8"/>
          <c:dPt>
            <c:idx val="0"/>
            <c:bubble3D val="0"/>
            <c:explosion val="73"/>
            <c:spPr>
              <a:solidFill>
                <a:srgbClr val="00B0F0"/>
              </a:solidFill>
            </c:spPr>
          </c:dPt>
          <c:dPt>
            <c:idx val="1"/>
            <c:bubble3D val="0"/>
            <c:explosion val="55"/>
            <c:spPr>
              <a:solidFill>
                <a:srgbClr val="FF0000"/>
              </a:solidFill>
            </c:spPr>
          </c:dPt>
          <c:dPt>
            <c:idx val="2"/>
            <c:bubble3D val="0"/>
            <c:explosion val="30"/>
            <c:spPr>
              <a:solidFill>
                <a:srgbClr val="FFC000"/>
              </a:solidFill>
            </c:spPr>
          </c:dPt>
          <c:dPt>
            <c:idx val="3"/>
            <c:bubble3D val="0"/>
            <c:explosion val="33"/>
            <c:spPr>
              <a:solidFill>
                <a:schemeClr val="bg2"/>
              </a:solidFill>
            </c:spPr>
          </c:dPt>
          <c:dPt>
            <c:idx val="4"/>
            <c:bubble3D val="0"/>
            <c:explosion val="41"/>
            <c:spPr>
              <a:solidFill>
                <a:srgbClr val="7030A0"/>
              </a:solidFill>
            </c:spPr>
          </c:dPt>
          <c:dPt>
            <c:idx val="5"/>
            <c:bubble3D val="0"/>
            <c:explosion val="28"/>
            <c:spPr>
              <a:solidFill>
                <a:srgbClr val="D60093"/>
              </a:solidFill>
            </c:spPr>
          </c:dPt>
          <c:dLbls>
            <c:dLbl>
              <c:idx val="0"/>
              <c:layout>
                <c:manualLayout>
                  <c:x val="7.3359307950660924E-2"/>
                  <c:y val="2.8755579103898338E-2"/>
                </c:manualLayout>
              </c:layout>
              <c:tx>
                <c:rich>
                  <a:bodyPr/>
                  <a:lstStyle/>
                  <a:p>
                    <a:r>
                      <a:rPr lang="uk-UA" sz="1100" dirty="0" err="1" smtClean="0"/>
                      <a:t>Сільськогоспо</a:t>
                    </a:r>
                    <a:endParaRPr lang="uk-UA" sz="1100" dirty="0" smtClean="0"/>
                  </a:p>
                  <a:p>
                    <a:r>
                      <a:rPr lang="uk-UA" sz="1100" dirty="0" err="1" smtClean="0"/>
                      <a:t>дарські</a:t>
                    </a:r>
                    <a:r>
                      <a:rPr lang="uk-UA" sz="1100" dirty="0" smtClean="0"/>
                      <a:t> землі  77,0 %</a:t>
                    </a:r>
                    <a:endParaRPr lang="uk-UA" sz="1100" dirty="0"/>
                  </a:p>
                </c:rich>
              </c:tx>
              <c:showLegendKey val="0"/>
              <c:showVal val="1"/>
              <c:showCatName val="1"/>
              <c:showSerName val="0"/>
              <c:showPercent val="0"/>
              <c:showBubbleSize val="0"/>
            </c:dLbl>
            <c:dLbl>
              <c:idx val="1"/>
              <c:layout>
                <c:manualLayout>
                  <c:x val="0"/>
                  <c:y val="4.6068494301218892E-2"/>
                </c:manualLayout>
              </c:layout>
              <c:tx>
                <c:rich>
                  <a:bodyPr/>
                  <a:lstStyle/>
                  <a:p>
                    <a:r>
                      <a:rPr lang="uk-UA" sz="1100" dirty="0"/>
                      <a:t>Землі водного </a:t>
                    </a:r>
                    <a:r>
                      <a:rPr lang="uk-UA" sz="1100" dirty="0" smtClean="0"/>
                      <a:t>фонду 1,2 %</a:t>
                    </a:r>
                    <a:endParaRPr lang="uk-UA" sz="1100" dirty="0"/>
                  </a:p>
                </c:rich>
              </c:tx>
              <c:showLegendKey val="0"/>
              <c:showVal val="1"/>
              <c:showCatName val="1"/>
              <c:showSerName val="0"/>
              <c:showPercent val="0"/>
              <c:showBubbleSize val="0"/>
            </c:dLbl>
            <c:dLbl>
              <c:idx val="2"/>
              <c:layout>
                <c:manualLayout>
                  <c:x val="-7.8330522440004102E-3"/>
                  <c:y val="-4.2671161927173566E-2"/>
                </c:manualLayout>
              </c:layout>
              <c:tx>
                <c:rich>
                  <a:bodyPr/>
                  <a:lstStyle/>
                  <a:p>
                    <a:r>
                      <a:rPr lang="uk-UA" sz="1100" dirty="0" smtClean="0"/>
                      <a:t>Промислова забудова</a:t>
                    </a:r>
                    <a:r>
                      <a:rPr lang="uk-UA" sz="1100" baseline="0" dirty="0" smtClean="0"/>
                      <a:t> </a:t>
                    </a:r>
                    <a:r>
                      <a:rPr lang="uk-UA" sz="1100" dirty="0" smtClean="0"/>
                      <a:t> 3 %</a:t>
                    </a:r>
                    <a:endParaRPr lang="uk-UA" sz="1100" dirty="0"/>
                  </a:p>
                </c:rich>
              </c:tx>
              <c:showLegendKey val="0"/>
              <c:showVal val="1"/>
              <c:showCatName val="1"/>
              <c:showSerName val="0"/>
              <c:showPercent val="0"/>
              <c:showBubbleSize val="0"/>
            </c:dLbl>
            <c:dLbl>
              <c:idx val="3"/>
              <c:layout>
                <c:manualLayout>
                  <c:x val="-6.3155560017801801E-2"/>
                  <c:y val="-0.11543336553547541"/>
                </c:manualLayout>
              </c:layout>
              <c:tx>
                <c:rich>
                  <a:bodyPr/>
                  <a:lstStyle/>
                  <a:p>
                    <a:r>
                      <a:rPr lang="ru-RU" sz="1100" dirty="0" err="1"/>
                      <a:t>Житлова</a:t>
                    </a:r>
                    <a:r>
                      <a:rPr lang="ru-RU" sz="1100" dirty="0"/>
                      <a:t> та </a:t>
                    </a:r>
                    <a:r>
                      <a:rPr lang="ru-RU" sz="1100" dirty="0" err="1"/>
                      <a:t>громадська</a:t>
                    </a:r>
                    <a:r>
                      <a:rPr lang="ru-RU" sz="1100" dirty="0"/>
                      <a:t> </a:t>
                    </a:r>
                    <a:r>
                      <a:rPr lang="ru-RU" sz="1100" dirty="0" err="1" smtClean="0"/>
                      <a:t>забудова</a:t>
                    </a:r>
                    <a:r>
                      <a:rPr lang="ru-RU" sz="1100" dirty="0" smtClean="0"/>
                      <a:t> </a:t>
                    </a:r>
                  </a:p>
                  <a:p>
                    <a:r>
                      <a:rPr lang="ru-RU" sz="1100" dirty="0" smtClean="0"/>
                      <a:t> 5,1 %</a:t>
                    </a:r>
                    <a:endParaRPr lang="ru-RU" sz="1100" dirty="0"/>
                  </a:p>
                </c:rich>
              </c:tx>
              <c:showLegendKey val="0"/>
              <c:showVal val="1"/>
              <c:showCatName val="1"/>
              <c:showSerName val="0"/>
              <c:showPercent val="0"/>
              <c:showBubbleSize val="0"/>
            </c:dLbl>
            <c:dLbl>
              <c:idx val="4"/>
              <c:layout>
                <c:manualLayout>
                  <c:x val="9.453264855507533E-2"/>
                  <c:y val="-6.9683377136684113E-2"/>
                </c:manualLayout>
              </c:layout>
              <c:tx>
                <c:rich>
                  <a:bodyPr/>
                  <a:lstStyle/>
                  <a:p>
                    <a:r>
                      <a:rPr lang="uk-UA" sz="1100" dirty="0" err="1" smtClean="0"/>
                      <a:t>Лісогоспо-</a:t>
                    </a:r>
                    <a:endParaRPr lang="uk-UA" sz="1100" dirty="0" smtClean="0"/>
                  </a:p>
                  <a:p>
                    <a:r>
                      <a:rPr lang="uk-UA" sz="1100" dirty="0" err="1" smtClean="0"/>
                      <a:t>дарського</a:t>
                    </a:r>
                    <a:r>
                      <a:rPr lang="uk-UA" sz="1100" dirty="0" smtClean="0"/>
                      <a:t> призначення</a:t>
                    </a:r>
                  </a:p>
                  <a:p>
                    <a:r>
                      <a:rPr lang="uk-UA" sz="1100" dirty="0" smtClean="0"/>
                      <a:t> 5,8 %</a:t>
                    </a:r>
                    <a:endParaRPr lang="uk-UA" sz="1100" dirty="0"/>
                  </a:p>
                </c:rich>
              </c:tx>
              <c:showLegendKey val="0"/>
              <c:showVal val="1"/>
              <c:showCatName val="1"/>
              <c:showSerName val="0"/>
              <c:showPercent val="0"/>
              <c:showBubbleSize val="0"/>
            </c:dLbl>
            <c:dLbl>
              <c:idx val="5"/>
              <c:layout>
                <c:manualLayout>
                  <c:x val="0.18498871942007244"/>
                  <c:y val="1.8255124570132388E-4"/>
                </c:manualLayout>
              </c:layout>
              <c:tx>
                <c:rich>
                  <a:bodyPr/>
                  <a:lstStyle/>
                  <a:p>
                    <a:r>
                      <a:rPr lang="uk-UA" sz="1100" dirty="0"/>
                      <a:t>Інші </a:t>
                    </a:r>
                    <a:r>
                      <a:rPr lang="uk-UA" sz="1100" dirty="0" smtClean="0"/>
                      <a:t>землі </a:t>
                    </a:r>
                  </a:p>
                  <a:p>
                    <a:r>
                      <a:rPr lang="uk-UA" sz="1100" dirty="0" smtClean="0"/>
                      <a:t>7,9 %</a:t>
                    </a:r>
                    <a:endParaRPr lang="uk-UA" sz="1100" dirty="0"/>
                  </a:p>
                </c:rich>
              </c:tx>
              <c:showLegendKey val="0"/>
              <c:showVal val="1"/>
              <c:showCatName val="1"/>
              <c:showSerName val="0"/>
              <c:showPercent val="0"/>
              <c:showBubbleSize val="0"/>
            </c:dLbl>
            <c:txPr>
              <a:bodyPr/>
              <a:lstStyle/>
              <a:p>
                <a:pPr>
                  <a:defRPr lang="ru-RU" sz="1100" b="1">
                    <a:latin typeface="Times New Roman" pitchFamily="18" charset="0"/>
                    <a:cs typeface="Times New Roman" pitchFamily="18" charset="0"/>
                  </a:defRPr>
                </a:pPr>
                <a:endParaRPr lang="ru-RU"/>
              </a:p>
            </c:txPr>
            <c:showLegendKey val="0"/>
            <c:showVal val="1"/>
            <c:showCatName val="1"/>
            <c:showSerName val="0"/>
            <c:showPercent val="0"/>
            <c:showBubbleSize val="0"/>
            <c:showLeaderLines val="1"/>
          </c:dLbls>
          <c:cat>
            <c:strRef>
              <c:f>'[Диаграмма в Microsoft Office PowerPoint]Лист1'!$A$2:$A$7</c:f>
              <c:strCache>
                <c:ptCount val="6"/>
                <c:pt idx="0">
                  <c:v>Сільськогосподарські землі</c:v>
                </c:pt>
                <c:pt idx="1">
                  <c:v>Землі водного фонду</c:v>
                </c:pt>
                <c:pt idx="2">
                  <c:v>Промислова забудова</c:v>
                </c:pt>
                <c:pt idx="3">
                  <c:v>Житлова та громадська забудова</c:v>
                </c:pt>
                <c:pt idx="4">
                  <c:v>Лісогосподарського призначення </c:v>
                </c:pt>
                <c:pt idx="5">
                  <c:v>Інші землі</c:v>
                </c:pt>
              </c:strCache>
            </c:strRef>
          </c:cat>
          <c:val>
            <c:numRef>
              <c:f>'[Диаграмма в Microsoft Office PowerPoint]Лист1'!$B$2:$B$7</c:f>
              <c:numCache>
                <c:formatCode>General</c:formatCode>
                <c:ptCount val="6"/>
                <c:pt idx="0">
                  <c:v>77</c:v>
                </c:pt>
                <c:pt idx="1">
                  <c:v>1.2</c:v>
                </c:pt>
                <c:pt idx="2">
                  <c:v>3</c:v>
                </c:pt>
                <c:pt idx="3">
                  <c:v>5.0999999999999996</c:v>
                </c:pt>
                <c:pt idx="4">
                  <c:v>5.8</c:v>
                </c:pt>
                <c:pt idx="5">
                  <c:v>7.9</c:v>
                </c:pt>
              </c:numCache>
            </c:numRef>
          </c:val>
        </c:ser>
        <c:dLbls>
          <c:showLegendKey val="0"/>
          <c:showVal val="0"/>
          <c:showCatName val="0"/>
          <c:showSerName val="0"/>
          <c:showPercent val="0"/>
          <c:showBubbleSize val="0"/>
          <c:showLeaderLines val="1"/>
        </c:dLbls>
      </c:pie3DChart>
    </c:plotArea>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2830985996031545E-2"/>
          <c:y val="0.19672492935528302"/>
          <c:w val="0.89486892902550652"/>
          <c:h val="0.69881211296547785"/>
        </c:manualLayout>
      </c:layout>
      <c:pie3DChart>
        <c:varyColors val="1"/>
        <c:ser>
          <c:idx val="0"/>
          <c:order val="0"/>
          <c:tx>
            <c:strRef>
              <c:f>'[Диаграмма в Microsoft Office PowerPoint]Лист1'!$B$1</c:f>
              <c:strCache>
                <c:ptCount val="1"/>
                <c:pt idx="0">
                  <c:v>Продажи</c:v>
                </c:pt>
              </c:strCache>
            </c:strRef>
          </c:tx>
          <c:explosion val="8"/>
          <c:dPt>
            <c:idx val="0"/>
            <c:bubble3D val="0"/>
            <c:explosion val="73"/>
            <c:spPr>
              <a:solidFill>
                <a:srgbClr val="00B0F0"/>
              </a:solidFill>
            </c:spPr>
          </c:dPt>
          <c:dPt>
            <c:idx val="1"/>
            <c:bubble3D val="0"/>
            <c:explosion val="55"/>
            <c:spPr>
              <a:solidFill>
                <a:srgbClr val="FF0000"/>
              </a:solidFill>
            </c:spPr>
          </c:dPt>
          <c:dPt>
            <c:idx val="2"/>
            <c:bubble3D val="0"/>
            <c:explosion val="30"/>
            <c:spPr>
              <a:solidFill>
                <a:srgbClr val="FFC000"/>
              </a:solidFill>
            </c:spPr>
          </c:dPt>
          <c:dPt>
            <c:idx val="3"/>
            <c:bubble3D val="0"/>
            <c:explosion val="33"/>
            <c:spPr>
              <a:solidFill>
                <a:schemeClr val="bg2"/>
              </a:solidFill>
            </c:spPr>
          </c:dPt>
          <c:dPt>
            <c:idx val="4"/>
            <c:bubble3D val="0"/>
            <c:explosion val="41"/>
            <c:spPr>
              <a:solidFill>
                <a:srgbClr val="7030A0"/>
              </a:solidFill>
            </c:spPr>
          </c:dPt>
          <c:dPt>
            <c:idx val="5"/>
            <c:bubble3D val="0"/>
            <c:explosion val="28"/>
            <c:spPr>
              <a:solidFill>
                <a:srgbClr val="D60093"/>
              </a:solidFill>
            </c:spPr>
          </c:dPt>
          <c:dLbls>
            <c:dLbl>
              <c:idx val="0"/>
              <c:layout>
                <c:manualLayout>
                  <c:x val="7.3359307950660924E-2"/>
                  <c:y val="2.8755579103898338E-2"/>
                </c:manualLayout>
              </c:layout>
              <c:tx>
                <c:rich>
                  <a:bodyPr/>
                  <a:lstStyle/>
                  <a:p>
                    <a:r>
                      <a:rPr lang="uk-UA" sz="1100" dirty="0" err="1" smtClean="0"/>
                      <a:t>Сільськогоспо</a:t>
                    </a:r>
                    <a:endParaRPr lang="uk-UA" sz="1100" dirty="0" smtClean="0"/>
                  </a:p>
                  <a:p>
                    <a:r>
                      <a:rPr lang="uk-UA" sz="1100" dirty="0" err="1" smtClean="0"/>
                      <a:t>дарські</a:t>
                    </a:r>
                    <a:r>
                      <a:rPr lang="uk-UA" sz="1100" dirty="0" smtClean="0"/>
                      <a:t> землі  77,0 %</a:t>
                    </a:r>
                    <a:endParaRPr lang="uk-UA" sz="1100" dirty="0"/>
                  </a:p>
                </c:rich>
              </c:tx>
              <c:showLegendKey val="0"/>
              <c:showVal val="1"/>
              <c:showCatName val="1"/>
              <c:showSerName val="0"/>
              <c:showPercent val="0"/>
              <c:showBubbleSize val="0"/>
            </c:dLbl>
            <c:dLbl>
              <c:idx val="1"/>
              <c:layout>
                <c:manualLayout>
                  <c:x val="0"/>
                  <c:y val="4.6068494301218912E-2"/>
                </c:manualLayout>
              </c:layout>
              <c:tx>
                <c:rich>
                  <a:bodyPr/>
                  <a:lstStyle/>
                  <a:p>
                    <a:r>
                      <a:rPr lang="uk-UA" sz="1100" dirty="0"/>
                      <a:t>Землі водного </a:t>
                    </a:r>
                    <a:r>
                      <a:rPr lang="uk-UA" sz="1100" dirty="0" smtClean="0"/>
                      <a:t>фонду 1,2 %</a:t>
                    </a:r>
                    <a:endParaRPr lang="uk-UA" sz="1100" dirty="0"/>
                  </a:p>
                </c:rich>
              </c:tx>
              <c:showLegendKey val="0"/>
              <c:showVal val="1"/>
              <c:showCatName val="1"/>
              <c:showSerName val="0"/>
              <c:showPercent val="0"/>
              <c:showBubbleSize val="0"/>
            </c:dLbl>
            <c:dLbl>
              <c:idx val="2"/>
              <c:layout>
                <c:manualLayout>
                  <c:x val="-7.8330522440004102E-3"/>
                  <c:y val="-4.2671161927173566E-2"/>
                </c:manualLayout>
              </c:layout>
              <c:tx>
                <c:rich>
                  <a:bodyPr/>
                  <a:lstStyle/>
                  <a:p>
                    <a:r>
                      <a:rPr lang="uk-UA" sz="1100" dirty="0" smtClean="0"/>
                      <a:t>Промислова забудова</a:t>
                    </a:r>
                    <a:r>
                      <a:rPr lang="uk-UA" sz="1100" baseline="0" dirty="0" smtClean="0"/>
                      <a:t> </a:t>
                    </a:r>
                    <a:r>
                      <a:rPr lang="uk-UA" sz="1100" dirty="0" smtClean="0"/>
                      <a:t> 3 %</a:t>
                    </a:r>
                    <a:endParaRPr lang="uk-UA" sz="1100" dirty="0"/>
                  </a:p>
                </c:rich>
              </c:tx>
              <c:showLegendKey val="0"/>
              <c:showVal val="1"/>
              <c:showCatName val="1"/>
              <c:showSerName val="0"/>
              <c:showPercent val="0"/>
              <c:showBubbleSize val="0"/>
            </c:dLbl>
            <c:dLbl>
              <c:idx val="3"/>
              <c:layout>
                <c:manualLayout>
                  <c:x val="-6.3155560017801801E-2"/>
                  <c:y val="-0.11543336553547541"/>
                </c:manualLayout>
              </c:layout>
              <c:tx>
                <c:rich>
                  <a:bodyPr/>
                  <a:lstStyle/>
                  <a:p>
                    <a:r>
                      <a:rPr lang="ru-RU" sz="1100" dirty="0" err="1"/>
                      <a:t>Житлова</a:t>
                    </a:r>
                    <a:r>
                      <a:rPr lang="ru-RU" sz="1100" dirty="0"/>
                      <a:t> та </a:t>
                    </a:r>
                    <a:r>
                      <a:rPr lang="ru-RU" sz="1100" dirty="0" err="1"/>
                      <a:t>громадська</a:t>
                    </a:r>
                    <a:r>
                      <a:rPr lang="ru-RU" sz="1100" dirty="0"/>
                      <a:t> </a:t>
                    </a:r>
                    <a:r>
                      <a:rPr lang="ru-RU" sz="1100" dirty="0" err="1" smtClean="0"/>
                      <a:t>забудова</a:t>
                    </a:r>
                    <a:r>
                      <a:rPr lang="ru-RU" sz="1100" dirty="0" smtClean="0"/>
                      <a:t> </a:t>
                    </a:r>
                  </a:p>
                  <a:p>
                    <a:r>
                      <a:rPr lang="ru-RU" sz="1100" dirty="0" smtClean="0"/>
                      <a:t> 5,1 %</a:t>
                    </a:r>
                    <a:endParaRPr lang="ru-RU" sz="1100" dirty="0"/>
                  </a:p>
                </c:rich>
              </c:tx>
              <c:showLegendKey val="0"/>
              <c:showVal val="1"/>
              <c:showCatName val="1"/>
              <c:showSerName val="0"/>
              <c:showPercent val="0"/>
              <c:showBubbleSize val="0"/>
            </c:dLbl>
            <c:dLbl>
              <c:idx val="4"/>
              <c:layout>
                <c:manualLayout>
                  <c:x val="9.4532648555075399E-2"/>
                  <c:y val="-6.9683377136684113E-2"/>
                </c:manualLayout>
              </c:layout>
              <c:tx>
                <c:rich>
                  <a:bodyPr/>
                  <a:lstStyle/>
                  <a:p>
                    <a:r>
                      <a:rPr lang="uk-UA" sz="1100" dirty="0" err="1" smtClean="0"/>
                      <a:t>Лісогоспо-</a:t>
                    </a:r>
                    <a:endParaRPr lang="uk-UA" sz="1100" dirty="0" smtClean="0"/>
                  </a:p>
                  <a:p>
                    <a:r>
                      <a:rPr lang="uk-UA" sz="1100" dirty="0" err="1" smtClean="0"/>
                      <a:t>дарського</a:t>
                    </a:r>
                    <a:r>
                      <a:rPr lang="uk-UA" sz="1100" dirty="0" smtClean="0"/>
                      <a:t> призначення</a:t>
                    </a:r>
                  </a:p>
                  <a:p>
                    <a:r>
                      <a:rPr lang="uk-UA" sz="1100" dirty="0" smtClean="0"/>
                      <a:t> 5,8 %</a:t>
                    </a:r>
                    <a:endParaRPr lang="uk-UA" sz="1100" dirty="0"/>
                  </a:p>
                </c:rich>
              </c:tx>
              <c:showLegendKey val="0"/>
              <c:showVal val="1"/>
              <c:showCatName val="1"/>
              <c:showSerName val="0"/>
              <c:showPercent val="0"/>
              <c:showBubbleSize val="0"/>
            </c:dLbl>
            <c:dLbl>
              <c:idx val="5"/>
              <c:layout>
                <c:manualLayout>
                  <c:x val="0.18498871942007244"/>
                  <c:y val="1.8255124570132396E-4"/>
                </c:manualLayout>
              </c:layout>
              <c:tx>
                <c:rich>
                  <a:bodyPr/>
                  <a:lstStyle/>
                  <a:p>
                    <a:r>
                      <a:rPr lang="uk-UA" sz="1100" dirty="0"/>
                      <a:t>Інші </a:t>
                    </a:r>
                    <a:r>
                      <a:rPr lang="uk-UA" sz="1100" dirty="0" smtClean="0"/>
                      <a:t>землі </a:t>
                    </a:r>
                  </a:p>
                  <a:p>
                    <a:r>
                      <a:rPr lang="uk-UA" sz="1100" dirty="0" smtClean="0"/>
                      <a:t>7,9 %</a:t>
                    </a:r>
                    <a:endParaRPr lang="uk-UA" sz="1100" dirty="0"/>
                  </a:p>
                </c:rich>
              </c:tx>
              <c:showLegendKey val="0"/>
              <c:showVal val="1"/>
              <c:showCatName val="1"/>
              <c:showSerName val="0"/>
              <c:showPercent val="0"/>
              <c:showBubbleSize val="0"/>
            </c:dLbl>
            <c:txPr>
              <a:bodyPr/>
              <a:lstStyle/>
              <a:p>
                <a:pPr>
                  <a:defRPr lang="ru-RU" sz="1100" b="1">
                    <a:latin typeface="Times New Roman" pitchFamily="18" charset="0"/>
                    <a:cs typeface="Times New Roman" pitchFamily="18" charset="0"/>
                  </a:defRPr>
                </a:pPr>
                <a:endParaRPr lang="ru-RU"/>
              </a:p>
            </c:txPr>
            <c:showLegendKey val="0"/>
            <c:showVal val="1"/>
            <c:showCatName val="1"/>
            <c:showSerName val="0"/>
            <c:showPercent val="0"/>
            <c:showBubbleSize val="0"/>
            <c:showLeaderLines val="1"/>
          </c:dLbls>
          <c:cat>
            <c:strRef>
              <c:f>'[Диаграмма в Microsoft Office PowerPoint]Лист1'!$A$2:$A$7</c:f>
              <c:strCache>
                <c:ptCount val="6"/>
                <c:pt idx="0">
                  <c:v>Сільськогосподарські землі</c:v>
                </c:pt>
                <c:pt idx="1">
                  <c:v>Землі водного фонду</c:v>
                </c:pt>
                <c:pt idx="2">
                  <c:v>Промислова забудова</c:v>
                </c:pt>
                <c:pt idx="3">
                  <c:v>Житлова та громадська забудова</c:v>
                </c:pt>
                <c:pt idx="4">
                  <c:v>Лісогосподарського призначення </c:v>
                </c:pt>
                <c:pt idx="5">
                  <c:v>Інші землі</c:v>
                </c:pt>
              </c:strCache>
            </c:strRef>
          </c:cat>
          <c:val>
            <c:numRef>
              <c:f>'[Диаграмма в Microsoft Office PowerPoint]Лист1'!$B$2:$B$7</c:f>
              <c:numCache>
                <c:formatCode>General</c:formatCode>
                <c:ptCount val="6"/>
                <c:pt idx="0">
                  <c:v>77</c:v>
                </c:pt>
                <c:pt idx="1">
                  <c:v>1.2</c:v>
                </c:pt>
                <c:pt idx="2">
                  <c:v>3</c:v>
                </c:pt>
                <c:pt idx="3">
                  <c:v>5.0999999999999996</c:v>
                </c:pt>
                <c:pt idx="4">
                  <c:v>5.8</c:v>
                </c:pt>
                <c:pt idx="5">
                  <c:v>7.9</c:v>
                </c:pt>
              </c:numCache>
            </c:numRef>
          </c:val>
        </c:ser>
        <c:dLbls>
          <c:showLegendKey val="0"/>
          <c:showVal val="0"/>
          <c:showCatName val="0"/>
          <c:showSerName val="0"/>
          <c:showPercent val="0"/>
          <c:showBubbleSize val="0"/>
          <c:showLeaderLines val="1"/>
        </c:dLbls>
      </c:pie3DChart>
    </c:plotArea>
    <c:plotVisOnly val="1"/>
    <c:dispBlanksAs val="zero"/>
    <c:showDLblsOverMax val="0"/>
  </c:chart>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rgbClr val="FFFF00"/>
              </a:solidFill>
            </c:spPr>
          </c:dPt>
          <c:dPt>
            <c:idx val="1"/>
            <c:invertIfNegative val="0"/>
            <c:bubble3D val="0"/>
            <c:spPr>
              <a:solidFill>
                <a:srgbClr val="00B050"/>
              </a:solidFill>
            </c:spPr>
          </c:dPt>
          <c:dPt>
            <c:idx val="2"/>
            <c:invertIfNegative val="0"/>
            <c:bubble3D val="0"/>
            <c:spPr>
              <a:solidFill>
                <a:srgbClr val="00B050"/>
              </a:solidFill>
            </c:spPr>
          </c:dPt>
          <c:dPt>
            <c:idx val="3"/>
            <c:invertIfNegative val="0"/>
            <c:bubble3D val="0"/>
            <c:spPr>
              <a:solidFill>
                <a:srgbClr val="00B050"/>
              </a:solidFill>
            </c:spPr>
          </c:dPt>
          <c:dPt>
            <c:idx val="4"/>
            <c:invertIfNegative val="0"/>
            <c:bubble3D val="0"/>
            <c:spPr>
              <a:solidFill>
                <a:srgbClr val="00B050"/>
              </a:solidFill>
            </c:spPr>
          </c:dPt>
          <c:dLbls>
            <c:dLbl>
              <c:idx val="0"/>
              <c:layout>
                <c:manualLayout>
                  <c:x val="1.1031034315155203E-2"/>
                  <c:y val="-3.7561536935146807E-2"/>
                </c:manualLayout>
              </c:layout>
              <c:spPr/>
              <c:txPr>
                <a:bodyPr/>
                <a:lstStyle/>
                <a:p>
                  <a:pPr>
                    <a:defRPr lang="ru-RU" sz="1100" b="1">
                      <a:latin typeface="Times New Roman" pitchFamily="18" charset="0"/>
                      <a:cs typeface="Times New Roman" pitchFamily="18" charset="0"/>
                    </a:defRPr>
                  </a:pPr>
                  <a:endParaRPr lang="ru-RU"/>
                </a:p>
              </c:txPr>
              <c:showLegendKey val="0"/>
              <c:showVal val="1"/>
              <c:showCatName val="0"/>
              <c:showSerName val="0"/>
              <c:showPercent val="0"/>
              <c:showBubbleSize val="0"/>
            </c:dLbl>
            <c:dLbl>
              <c:idx val="1"/>
              <c:layout>
                <c:manualLayout>
                  <c:x val="1.0004009915427386E-2"/>
                  <c:y val="-2.4330910775117915E-2"/>
                </c:manualLayout>
              </c:layout>
              <c:spPr/>
              <c:txPr>
                <a:bodyPr/>
                <a:lstStyle/>
                <a:p>
                  <a:pPr>
                    <a:defRPr lang="ru-RU" sz="1100" b="1">
                      <a:latin typeface="Times New Roman" pitchFamily="18" charset="0"/>
                      <a:cs typeface="Times New Roman" pitchFamily="18" charset="0"/>
                    </a:defRPr>
                  </a:pPr>
                  <a:endParaRPr lang="ru-RU"/>
                </a:p>
              </c:txPr>
              <c:showLegendKey val="0"/>
              <c:showVal val="1"/>
              <c:showCatName val="0"/>
              <c:showSerName val="0"/>
              <c:showPercent val="0"/>
              <c:showBubbleSize val="0"/>
            </c:dLbl>
            <c:dLbl>
              <c:idx val="2"/>
              <c:layout>
                <c:manualLayout>
                  <c:x val="1.6339068727520115E-2"/>
                  <c:y val="-2.5935900207703654E-2"/>
                </c:manualLayout>
              </c:layout>
              <c:spPr/>
              <c:txPr>
                <a:bodyPr/>
                <a:lstStyle/>
                <a:p>
                  <a:pPr>
                    <a:defRPr lang="ru-RU" sz="1100" b="1">
                      <a:latin typeface="Times New Roman" pitchFamily="18" charset="0"/>
                      <a:cs typeface="Times New Roman" pitchFamily="18" charset="0"/>
                    </a:defRPr>
                  </a:pPr>
                  <a:endParaRPr lang="ru-RU"/>
                </a:p>
              </c:txPr>
              <c:showLegendKey val="0"/>
              <c:showVal val="1"/>
              <c:showCatName val="0"/>
              <c:showSerName val="0"/>
              <c:showPercent val="0"/>
              <c:showBubbleSize val="0"/>
            </c:dLbl>
            <c:dLbl>
              <c:idx val="3"/>
              <c:layout>
                <c:manualLayout>
                  <c:x val="1.4643725089919521E-2"/>
                  <c:y val="-2.6039785967995492E-2"/>
                </c:manualLayout>
              </c:layout>
              <c:spPr/>
              <c:txPr>
                <a:bodyPr/>
                <a:lstStyle/>
                <a:p>
                  <a:pPr>
                    <a:defRPr lang="ru-RU" sz="1100" b="1">
                      <a:latin typeface="Times New Roman" pitchFamily="18" charset="0"/>
                      <a:cs typeface="Times New Roman" pitchFamily="18" charset="0"/>
                    </a:defRPr>
                  </a:pPr>
                  <a:endParaRPr lang="ru-RU"/>
                </a:p>
              </c:txPr>
              <c:showLegendKey val="0"/>
              <c:showVal val="1"/>
              <c:showCatName val="0"/>
              <c:showSerName val="0"/>
              <c:showPercent val="0"/>
              <c:showBubbleSize val="0"/>
            </c:dLbl>
            <c:dLbl>
              <c:idx val="4"/>
              <c:layout>
                <c:manualLayout>
                  <c:x val="2.0767351997666949E-2"/>
                  <c:y val="-3.453814236313222E-2"/>
                </c:manualLayout>
              </c:layout>
              <c:spPr/>
              <c:txPr>
                <a:bodyPr/>
                <a:lstStyle/>
                <a:p>
                  <a:pPr>
                    <a:defRPr lang="ru-RU" sz="1100" b="1">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lang="ru-RU"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Лист1!$A$2:$A$6</c:f>
              <c:strCache>
                <c:ptCount val="5"/>
                <c:pt idx="0">
                  <c:v>Костянтинівка</c:v>
                </c:pt>
                <c:pt idx="1">
                  <c:v>Дружківка</c:v>
                </c:pt>
                <c:pt idx="2">
                  <c:v>Краматорськ</c:v>
                </c:pt>
                <c:pt idx="3">
                  <c:v>Лиман</c:v>
                </c:pt>
                <c:pt idx="4">
                  <c:v>Слов'янськ</c:v>
                </c:pt>
              </c:strCache>
            </c:strRef>
          </c:cat>
          <c:val>
            <c:numRef>
              <c:f>Лист1!$B$2:$B$6</c:f>
              <c:numCache>
                <c:formatCode>General</c:formatCode>
                <c:ptCount val="5"/>
                <c:pt idx="0">
                  <c:v>2.4</c:v>
                </c:pt>
                <c:pt idx="1">
                  <c:v>2.2999999999999998</c:v>
                </c:pt>
                <c:pt idx="2">
                  <c:v>7.7</c:v>
                </c:pt>
                <c:pt idx="3">
                  <c:v>0.38000000000000339</c:v>
                </c:pt>
                <c:pt idx="4">
                  <c:v>0.17</c:v>
                </c:pt>
              </c:numCache>
            </c:numRef>
          </c:val>
        </c:ser>
        <c:dLbls>
          <c:showLegendKey val="0"/>
          <c:showVal val="0"/>
          <c:showCatName val="0"/>
          <c:showSerName val="0"/>
          <c:showPercent val="0"/>
          <c:showBubbleSize val="0"/>
        </c:dLbls>
        <c:gapWidth val="150"/>
        <c:shape val="box"/>
        <c:axId val="111131648"/>
        <c:axId val="111145728"/>
        <c:axId val="0"/>
      </c:bar3DChart>
      <c:catAx>
        <c:axId val="111131648"/>
        <c:scaling>
          <c:orientation val="minMax"/>
        </c:scaling>
        <c:delete val="0"/>
        <c:axPos val="b"/>
        <c:majorTickMark val="out"/>
        <c:minorTickMark val="none"/>
        <c:tickLblPos val="nextTo"/>
        <c:txPr>
          <a:bodyPr/>
          <a:lstStyle/>
          <a:p>
            <a:pPr>
              <a:defRPr lang="ru-RU" sz="1100" b="1">
                <a:latin typeface="Times New Roman" pitchFamily="18" charset="0"/>
                <a:cs typeface="Times New Roman" pitchFamily="18" charset="0"/>
              </a:defRPr>
            </a:pPr>
            <a:endParaRPr lang="ru-RU"/>
          </a:p>
        </c:txPr>
        <c:crossAx val="111145728"/>
        <c:crosses val="autoZero"/>
        <c:auto val="1"/>
        <c:lblAlgn val="ctr"/>
        <c:lblOffset val="100"/>
        <c:noMultiLvlLbl val="0"/>
      </c:catAx>
      <c:valAx>
        <c:axId val="111145728"/>
        <c:scaling>
          <c:orientation val="minMax"/>
        </c:scaling>
        <c:delete val="1"/>
        <c:axPos val="l"/>
        <c:numFmt formatCode="General" sourceLinked="1"/>
        <c:majorTickMark val="out"/>
        <c:minorTickMark val="none"/>
        <c:tickLblPos val="nextTo"/>
        <c:crossAx val="111131648"/>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uk-UA" sz="1200" b="1" i="0" u="none" strike="noStrike" baseline="0">
                <a:solidFill>
                  <a:srgbClr val="000000"/>
                </a:solidFill>
                <a:latin typeface="Times New Roman" pitchFamily="18" charset="0"/>
                <a:ea typeface="Arial Cyr"/>
                <a:cs typeface="Times New Roman" pitchFamily="18" charset="0"/>
              </a:defRPr>
            </a:pPr>
            <a:r>
              <a:rPr lang="uk-UA">
                <a:latin typeface="Times New Roman" pitchFamily="18" charset="0"/>
                <a:cs typeface="Times New Roman" pitchFamily="18" charset="0"/>
              </a:rPr>
              <a:t>Структура малих підприємств за видами економічної діяльності </a:t>
            </a:r>
          </a:p>
        </c:rich>
      </c:tx>
      <c:layout>
        <c:manualLayout>
          <c:xMode val="edge"/>
          <c:yMode val="edge"/>
          <c:x val="0.13623978201634956"/>
          <c:y val="3.406813627254509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6702997275204593"/>
          <c:y val="0.44489086789513582"/>
          <c:w val="0.46730245231607637"/>
          <c:h val="0.27254575690873173"/>
        </c:manualLayout>
      </c:layout>
      <c:pie3DChart>
        <c:varyColors val="1"/>
        <c:ser>
          <c:idx val="1"/>
          <c:order val="1"/>
          <c:tx>
            <c:strRef>
              <c:f>Лист1!$B$1</c:f>
            </c:strRef>
          </c:tx>
          <c:dLbls>
            <c:showLegendKey val="0"/>
            <c:showVal val="1"/>
            <c:showCatName val="1"/>
            <c:showSerName val="0"/>
            <c:showPercent val="0"/>
            <c:showBubbleSize val="0"/>
            <c:showLeaderLines val="1"/>
          </c:dLbls>
          <c:cat>
            <c:multiLvlStrRef>
              <c:f>Лист1!$A$2:$A$6</c:f>
            </c:multiLvlStrRef>
          </c:cat>
          <c:val>
            <c:numRef>
              <c:f>Лист1!$B$2:$B$6</c:f>
            </c:numRef>
          </c:val>
        </c:ser>
        <c:ser>
          <c:idx val="2"/>
          <c:order val="2"/>
          <c:spPr>
            <a:solidFill>
              <a:srgbClr val="9999FF"/>
            </a:solidFill>
            <a:ln w="12700">
              <a:solidFill>
                <a:srgbClr val="000000"/>
              </a:solidFill>
              <a:prstDash val="solid"/>
            </a:ln>
          </c:spPr>
          <c:dLbls>
            <c:showLegendKey val="0"/>
            <c:showVal val="1"/>
            <c:showCatName val="1"/>
            <c:showSerName val="0"/>
            <c:showPercent val="0"/>
            <c:showBubbleSize val="0"/>
            <c:showLeaderLines val="1"/>
          </c:dLbls>
          <c:cat>
            <c:multiLvlStrRef>
              <c:f>[Диаграм.xls]Лист1!$B$3:$B$10</c:f>
            </c:multiLvlStrRef>
          </c:cat>
          <c:val>
            <c:numRef>
              <c:f>[Диаграм.xls]Лист1!$C$3:$C$10</c:f>
            </c:numRef>
          </c:val>
        </c:ser>
        <c:ser>
          <c:idx val="3"/>
          <c:order val="3"/>
          <c:spPr>
            <a:solidFill>
              <a:srgbClr val="9999FF"/>
            </a:solidFill>
            <a:ln w="12700">
              <a:solidFill>
                <a:srgbClr val="000000"/>
              </a:solidFill>
              <a:prstDash val="solid"/>
            </a:ln>
          </c:spPr>
          <c:dLbls>
            <c:showLegendKey val="0"/>
            <c:showVal val="1"/>
            <c:showCatName val="1"/>
            <c:showSerName val="0"/>
            <c:showPercent val="0"/>
            <c:showBubbleSize val="0"/>
            <c:showLeaderLines val="1"/>
          </c:dLbls>
          <c:cat>
            <c:multiLvlStrRef>
              <c:f>[Диаграм.xls]Лист1!$B$3:$B$10</c:f>
            </c:multiLvlStrRef>
          </c:cat>
          <c:val>
            <c:numRef>
              <c:f>[Диаграм.xls]Лист1!$C$3:$C$10</c:f>
            </c:numRef>
          </c:val>
        </c:ser>
        <c:ser>
          <c:idx val="0"/>
          <c:order val="0"/>
          <c:spPr>
            <a:solidFill>
              <a:srgbClr val="9999FF"/>
            </a:solidFill>
            <a:ln w="12700">
              <a:solidFill>
                <a:srgbClr val="000000"/>
              </a:solidFill>
              <a:prstDash val="solid"/>
            </a:ln>
          </c:spPr>
          <c:explosion val="25"/>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Pt>
            <c:idx val="5"/>
            <c:bubble3D val="0"/>
            <c:spPr>
              <a:solidFill>
                <a:srgbClr val="FF8080"/>
              </a:solidFill>
              <a:ln w="12700">
                <a:solidFill>
                  <a:srgbClr val="000000"/>
                </a:solidFill>
                <a:prstDash val="solid"/>
              </a:ln>
            </c:spPr>
          </c:dPt>
          <c:dPt>
            <c:idx val="6"/>
            <c:bubble3D val="0"/>
            <c:spPr>
              <a:solidFill>
                <a:srgbClr val="0066CC"/>
              </a:solidFill>
              <a:ln w="12700">
                <a:solidFill>
                  <a:srgbClr val="000000"/>
                </a:solidFill>
                <a:prstDash val="solid"/>
              </a:ln>
            </c:spPr>
          </c:dPt>
          <c:dPt>
            <c:idx val="7"/>
            <c:bubble3D val="0"/>
            <c:spPr>
              <a:solidFill>
                <a:srgbClr val="CCCCFF"/>
              </a:solidFill>
              <a:ln w="12700">
                <a:solidFill>
                  <a:srgbClr val="000000"/>
                </a:solidFill>
                <a:prstDash val="solid"/>
              </a:ln>
            </c:spPr>
          </c:dPt>
          <c:dLbls>
            <c:dLbl>
              <c:idx val="0"/>
              <c:layout>
                <c:manualLayout>
                  <c:x val="8.0925000178793411E-3"/>
                  <c:y val="-0.19562712877986357"/>
                </c:manualLayout>
              </c:layout>
              <c:tx>
                <c:rich>
                  <a:bodyPr/>
                  <a:lstStyle/>
                  <a:p>
                    <a:r>
                      <a:rPr lang="uk-UA" b="1">
                        <a:latin typeface="Times New Roman" pitchFamily="18" charset="0"/>
                        <a:cs typeface="Times New Roman" pitchFamily="18" charset="0"/>
                      </a:rPr>
                      <a:t>Оптова і роздрібна торгівля 51,4%</a:t>
                    </a:r>
                  </a:p>
                </c:rich>
              </c:tx>
              <c:dLblPos val="bestFit"/>
              <c:showLegendKey val="0"/>
              <c:showVal val="0"/>
              <c:showCatName val="0"/>
              <c:showSerName val="0"/>
              <c:showPercent val="0"/>
              <c:showBubbleSize val="0"/>
            </c:dLbl>
            <c:dLbl>
              <c:idx val="1"/>
              <c:layout>
                <c:manualLayout>
                  <c:x val="0.2491353601235814"/>
                  <c:y val="4.7279849208751265E-2"/>
                </c:manualLayout>
              </c:layout>
              <c:tx>
                <c:rich>
                  <a:bodyPr/>
                  <a:lstStyle/>
                  <a:p>
                    <a:r>
                      <a:rPr lang="uk-UA" b="1">
                        <a:latin typeface="Times New Roman" pitchFamily="18" charset="0"/>
                        <a:cs typeface="Times New Roman" pitchFamily="18" charset="0"/>
                      </a:rPr>
                      <a:t>Операції з нерухомістю 2,8%</a:t>
                    </a:r>
                  </a:p>
                </c:rich>
              </c:tx>
              <c:dLblPos val="bestFit"/>
              <c:showLegendKey val="0"/>
              <c:showVal val="0"/>
              <c:showCatName val="0"/>
              <c:showSerName val="0"/>
              <c:showPercent val="0"/>
              <c:showBubbleSize val="0"/>
            </c:dLbl>
            <c:dLbl>
              <c:idx val="2"/>
              <c:layout>
                <c:manualLayout>
                  <c:x val="0.12117795561658352"/>
                  <c:y val="0.11646393559896705"/>
                </c:manualLayout>
              </c:layout>
              <c:tx>
                <c:rich>
                  <a:bodyPr/>
                  <a:lstStyle/>
                  <a:p>
                    <a:r>
                      <a:rPr lang="uk-UA" b="1">
                        <a:latin typeface="Times New Roman" pitchFamily="18" charset="0"/>
                        <a:cs typeface="Times New Roman" pitchFamily="18" charset="0"/>
                      </a:rPr>
                      <a:t>Промисловість 13,5%</a:t>
                    </a:r>
                  </a:p>
                </c:rich>
              </c:tx>
              <c:dLblPos val="bestFit"/>
              <c:showLegendKey val="0"/>
              <c:showVal val="0"/>
              <c:showCatName val="0"/>
              <c:showSerName val="0"/>
              <c:showPercent val="0"/>
              <c:showBubbleSize val="0"/>
            </c:dLbl>
            <c:dLbl>
              <c:idx val="3"/>
              <c:layout>
                <c:manualLayout>
                  <c:x val="-6.5189305355904087E-2"/>
                  <c:y val="0.11875497038565047"/>
                </c:manualLayout>
              </c:layout>
              <c:tx>
                <c:rich>
                  <a:bodyPr/>
                  <a:lstStyle/>
                  <a:p>
                    <a:r>
                      <a:rPr lang="uk-UA" b="1">
                        <a:latin typeface="Times New Roman" pitchFamily="18" charset="0"/>
                        <a:cs typeface="Times New Roman" pitchFamily="18" charset="0"/>
                      </a:rPr>
                      <a:t>Будівництво 9,5%</a:t>
                    </a:r>
                  </a:p>
                </c:rich>
              </c:tx>
              <c:dLblPos val="bestFit"/>
              <c:showLegendKey val="0"/>
              <c:showVal val="0"/>
              <c:showCatName val="0"/>
              <c:showSerName val="0"/>
              <c:showPercent val="0"/>
              <c:showBubbleSize val="0"/>
            </c:dLbl>
            <c:dLbl>
              <c:idx val="4"/>
              <c:layout>
                <c:manualLayout>
                  <c:x val="-7.9416886581275423E-2"/>
                  <c:y val="6.5202670769635498E-2"/>
                </c:manualLayout>
              </c:layout>
              <c:tx>
                <c:rich>
                  <a:bodyPr/>
                  <a:lstStyle/>
                  <a:p>
                    <a:r>
                      <a:rPr lang="uk-UA" b="1">
                        <a:latin typeface="Times New Roman" pitchFamily="18" charset="0"/>
                        <a:cs typeface="Times New Roman" pitchFamily="18" charset="0"/>
                      </a:rPr>
                      <a:t>Послуги 1,6%</a:t>
                    </a:r>
                  </a:p>
                </c:rich>
              </c:tx>
              <c:dLblPos val="bestFit"/>
              <c:showLegendKey val="0"/>
              <c:showVal val="0"/>
              <c:showCatName val="0"/>
              <c:showSerName val="0"/>
              <c:showPercent val="0"/>
              <c:showBubbleSize val="0"/>
            </c:dLbl>
            <c:dLbl>
              <c:idx val="5"/>
              <c:layout>
                <c:manualLayout>
                  <c:x val="-9.5122544286868754E-2"/>
                  <c:y val="-6.4793949029005149E-2"/>
                </c:manualLayout>
              </c:layout>
              <c:tx>
                <c:rich>
                  <a:bodyPr/>
                  <a:lstStyle/>
                  <a:p>
                    <a:r>
                      <a:rPr lang="uk-UA" b="1">
                        <a:latin typeface="Times New Roman" pitchFamily="18" charset="0"/>
                        <a:cs typeface="Times New Roman" pitchFamily="18" charset="0"/>
                      </a:rPr>
                      <a:t>Транспорт і зв'язок 3,3%</a:t>
                    </a:r>
                  </a:p>
                </c:rich>
              </c:tx>
              <c:dLblPos val="bestFit"/>
              <c:showLegendKey val="0"/>
              <c:showVal val="0"/>
              <c:showCatName val="0"/>
              <c:showSerName val="0"/>
              <c:showPercent val="0"/>
              <c:showBubbleSize val="0"/>
            </c:dLbl>
            <c:dLbl>
              <c:idx val="6"/>
              <c:layout>
                <c:manualLayout>
                  <c:x val="0.1102303203244009"/>
                  <c:y val="-0.16028367169080687"/>
                </c:manualLayout>
              </c:layout>
              <c:tx>
                <c:rich>
                  <a:bodyPr/>
                  <a:lstStyle/>
                  <a:p>
                    <a:r>
                      <a:rPr lang="uk-UA" b="1">
                        <a:latin typeface="Times New Roman" pitchFamily="18" charset="0"/>
                        <a:cs typeface="Times New Roman" pitchFamily="18" charset="0"/>
                      </a:rPr>
                      <a:t>Сільске господарство 0,7%</a:t>
                    </a:r>
                  </a:p>
                </c:rich>
              </c:tx>
              <c:dLblPos val="bestFit"/>
              <c:showLegendKey val="0"/>
              <c:showVal val="0"/>
              <c:showCatName val="0"/>
              <c:showSerName val="0"/>
              <c:showPercent val="0"/>
              <c:showBubbleSize val="0"/>
            </c:dLbl>
            <c:dLbl>
              <c:idx val="7"/>
              <c:layout>
                <c:manualLayout>
                  <c:x val="0.26492934125741263"/>
                  <c:y val="-0.12560582898829667"/>
                </c:manualLayout>
              </c:layout>
              <c:tx>
                <c:rich>
                  <a:bodyPr/>
                  <a:lstStyle/>
                  <a:p>
                    <a:r>
                      <a:rPr lang="uk-UA" b="1">
                        <a:latin typeface="Times New Roman" pitchFamily="18" charset="0"/>
                        <a:cs typeface="Times New Roman" pitchFamily="18" charset="0"/>
                      </a:rPr>
                      <a:t>Інші 17,2%</a:t>
                    </a:r>
                  </a:p>
                </c:rich>
              </c:tx>
              <c:dLblPos val="bestFit"/>
              <c:showLegendKey val="0"/>
              <c:showVal val="0"/>
              <c:showCatName val="0"/>
              <c:showSerName val="0"/>
              <c:showPercent val="0"/>
              <c:showBubbleSize val="0"/>
            </c:dLbl>
            <c:spPr>
              <a:noFill/>
              <a:ln w="25400">
                <a:noFill/>
              </a:ln>
            </c:spPr>
            <c:txPr>
              <a:bodyPr/>
              <a:lstStyle/>
              <a:p>
                <a:pPr>
                  <a:defRPr lang="uk-UA" sz="1025" b="1" i="0" u="none" strike="noStrike" baseline="0">
                    <a:solidFill>
                      <a:srgbClr val="000000"/>
                    </a:solidFill>
                    <a:latin typeface="Times New Roman" pitchFamily="18" charset="0"/>
                    <a:ea typeface="Arial Cyr"/>
                    <a:cs typeface="Times New Roman" pitchFamily="18" charset="0"/>
                  </a:defRPr>
                </a:pPr>
                <a:endParaRPr lang="ru-RU"/>
              </a:p>
            </c:txPr>
            <c:showLegendKey val="0"/>
            <c:showVal val="1"/>
            <c:showCatName val="1"/>
            <c:showSerName val="0"/>
            <c:showPercent val="0"/>
            <c:showBubbleSize val="0"/>
            <c:showLeaderLines val="1"/>
          </c:dLbls>
          <c:cat>
            <c:strRef>
              <c:f>[Диаграм.xls]Лист1!$B$3:$B$10</c:f>
              <c:strCache>
                <c:ptCount val="8"/>
                <c:pt idx="0">
                  <c:v>Оптова і роздрібна торгівля</c:v>
                </c:pt>
                <c:pt idx="1">
                  <c:v>Операції з нерухомістю</c:v>
                </c:pt>
                <c:pt idx="2">
                  <c:v>Промисловість</c:v>
                </c:pt>
                <c:pt idx="3">
                  <c:v>Будівництво</c:v>
                </c:pt>
                <c:pt idx="4">
                  <c:v>Послуги</c:v>
                </c:pt>
                <c:pt idx="5">
                  <c:v>Транспорт і зв'язок</c:v>
                </c:pt>
                <c:pt idx="6">
                  <c:v>Сільске господарство</c:v>
                </c:pt>
                <c:pt idx="7">
                  <c:v>Інші</c:v>
                </c:pt>
              </c:strCache>
            </c:strRef>
          </c:cat>
          <c:val>
            <c:numRef>
              <c:f>[Диаграм.xls]Лист1!$C$3:$C$10</c:f>
              <c:numCache>
                <c:formatCode>0.0%</c:formatCode>
                <c:ptCount val="8"/>
                <c:pt idx="0">
                  <c:v>0.51400000000000001</c:v>
                </c:pt>
                <c:pt idx="1">
                  <c:v>2.8000000000000001E-2</c:v>
                </c:pt>
                <c:pt idx="2">
                  <c:v>0.13500000000000001</c:v>
                </c:pt>
                <c:pt idx="3">
                  <c:v>9.5000000000000043E-2</c:v>
                </c:pt>
                <c:pt idx="4">
                  <c:v>1.6000000000000021E-2</c:v>
                </c:pt>
                <c:pt idx="5">
                  <c:v>3.3000000000000002E-2</c:v>
                </c:pt>
                <c:pt idx="6">
                  <c:v>7.0000000000000114E-3</c:v>
                </c:pt>
                <c:pt idx="7">
                  <c:v>0.17200000000000001</c:v>
                </c:pt>
              </c:numCache>
            </c:numRef>
          </c:val>
        </c:ser>
        <c:dLbls>
          <c:showLegendKey val="0"/>
          <c:showVal val="1"/>
          <c:showCatName val="1"/>
          <c:showSerName val="0"/>
          <c:showPercent val="0"/>
          <c:showBubbleSize val="0"/>
          <c:showLeaderLines val="1"/>
        </c:dLbls>
      </c:pie3DChart>
      <c:spPr>
        <a:noFill/>
        <a:ln w="25400">
          <a:noFill/>
        </a:ln>
      </c:spPr>
    </c:plotArea>
    <c:plotVisOnly val="1"/>
    <c:dispBlanksAs val="zero"/>
    <c:showDLblsOverMax val="0"/>
  </c:chart>
  <c:spPr>
    <a:solidFill>
      <a:srgbClr val="FFFFFF"/>
    </a:solidFill>
    <a:ln w="3175">
      <a:solidFill>
        <a:srgbClr val="000000"/>
      </a:solidFill>
      <a:prstDash val="solid"/>
    </a:ln>
  </c:spPr>
  <c:txPr>
    <a:bodyPr/>
    <a:lstStyle/>
    <a:p>
      <a:pPr>
        <a:defRPr sz="1025"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spPr>
        <a:solidFill>
          <a:schemeClr val="accent4">
            <a:lumMod val="20000"/>
            <a:lumOff val="80000"/>
          </a:schemeClr>
        </a:solidFill>
      </c:spPr>
    </c:floor>
    <c:sideWall>
      <c:thickness val="0"/>
    </c:sideWall>
    <c:backWall>
      <c:thickness val="0"/>
    </c:backWall>
    <c:plotArea>
      <c:layout>
        <c:manualLayout>
          <c:layoutTarget val="inner"/>
          <c:xMode val="edge"/>
          <c:yMode val="edge"/>
          <c:x val="0"/>
          <c:y val="0"/>
          <c:w val="0.91922279227158665"/>
          <c:h val="0.66591642336842916"/>
        </c:manualLayout>
      </c:layout>
      <c:bar3DChart>
        <c:barDir val="col"/>
        <c:grouping val="percentStacked"/>
        <c:varyColors val="0"/>
        <c:ser>
          <c:idx val="3"/>
          <c:order val="3"/>
          <c:tx>
            <c:strRef>
              <c:f>Лист1!$B$1</c:f>
            </c:strRef>
          </c:tx>
          <c:invertIfNegative val="0"/>
          <c:cat>
            <c:multiLvlStrRef>
              <c:f>Лист1!$A$2:$A$6</c:f>
            </c:multiLvlStrRef>
          </c:cat>
          <c:val>
            <c:numRef>
              <c:f>Лист1!$B$2:$B$6</c:f>
            </c:numRef>
          </c:val>
        </c:ser>
        <c:ser>
          <c:idx val="4"/>
          <c:order val="4"/>
          <c:tx>
            <c:strRef>
              <c:f>Лист1!$B$1</c:f>
            </c:strRef>
          </c:tx>
          <c:spPr>
            <a:solidFill>
              <a:schemeClr val="accent2">
                <a:lumMod val="60000"/>
                <a:lumOff val="40000"/>
              </a:schemeClr>
            </a:solidFill>
          </c:spPr>
          <c:invertIfNegative val="0"/>
          <c:cat>
            <c:multiLvlStrRef>
              <c:f>Лист1!$A$2:$A$9</c:f>
            </c:multiLvlStrRef>
          </c:cat>
          <c:val>
            <c:numRef>
              <c:f>Лист1!$B$2:$B$9</c:f>
            </c:numRef>
          </c:val>
        </c:ser>
        <c:ser>
          <c:idx val="5"/>
          <c:order val="5"/>
          <c:tx>
            <c:strRef>
              <c:f>Лист1!$C$1</c:f>
            </c:strRef>
          </c:tx>
          <c:spPr>
            <a:solidFill>
              <a:srgbClr val="FFC000"/>
            </a:solidFill>
          </c:spPr>
          <c:invertIfNegative val="0"/>
          <c:cat>
            <c:multiLvlStrRef>
              <c:f>Лист1!$A$2:$A$9</c:f>
            </c:multiLvlStrRef>
          </c:cat>
          <c:val>
            <c:numRef>
              <c:f>Лист1!$C$2:$C$9</c:f>
            </c:numRef>
          </c:val>
        </c:ser>
        <c:ser>
          <c:idx val="6"/>
          <c:order val="6"/>
          <c:tx>
            <c:strRef>
              <c:f>Лист1!$D$1</c:f>
            </c:strRef>
          </c:tx>
          <c:spPr>
            <a:solidFill>
              <a:srgbClr val="D60093"/>
            </a:solidFill>
          </c:spPr>
          <c:invertIfNegative val="0"/>
          <c:cat>
            <c:multiLvlStrRef>
              <c:f>Лист1!$A$2:$A$9</c:f>
            </c:multiLvlStrRef>
          </c:cat>
          <c:val>
            <c:numRef>
              <c:f>Лист1!$D$2:$D$9</c:f>
            </c:numRef>
          </c:val>
        </c:ser>
        <c:ser>
          <c:idx val="7"/>
          <c:order val="7"/>
          <c:tx>
            <c:strRef>
              <c:f>Лист1!$B$1</c:f>
            </c:strRef>
          </c:tx>
          <c:spPr>
            <a:solidFill>
              <a:schemeClr val="accent4"/>
            </a:solidFill>
          </c:spPr>
          <c:invertIfNegative val="0"/>
          <c:cat>
            <c:multiLvlStrRef>
              <c:f>Лист1!$A$2:$A$7</c:f>
            </c:multiLvlStrRef>
          </c:cat>
          <c:val>
            <c:numRef>
              <c:f>Лист1!$B$2:$B$7</c:f>
            </c:numRef>
          </c:val>
        </c:ser>
        <c:ser>
          <c:idx val="8"/>
          <c:order val="8"/>
          <c:tx>
            <c:strRef>
              <c:f>Лист1!$C$1</c:f>
            </c:strRef>
          </c:tx>
          <c:spPr>
            <a:solidFill>
              <a:srgbClr val="FFFF00"/>
            </a:solidFill>
          </c:spPr>
          <c:invertIfNegative val="0"/>
          <c:cat>
            <c:multiLvlStrRef>
              <c:f>Лист1!$A$2:$A$7</c:f>
            </c:multiLvlStrRef>
          </c:cat>
          <c:val>
            <c:numRef>
              <c:f>Лист1!$C$2:$C$7</c:f>
            </c:numRef>
          </c:val>
        </c:ser>
        <c:ser>
          <c:idx val="9"/>
          <c:order val="9"/>
          <c:tx>
            <c:strRef>
              <c:f>Лист1!$D$1</c:f>
            </c:strRef>
          </c:tx>
          <c:invertIfNegative val="0"/>
          <c:cat>
            <c:multiLvlStrRef>
              <c:f>Лист1!$A$2:$A$7</c:f>
            </c:multiLvlStrRef>
          </c:cat>
          <c:val>
            <c:numRef>
              <c:f>Лист1!$D$2:$D$7</c:f>
            </c:numRef>
          </c:val>
        </c:ser>
        <c:ser>
          <c:idx val="0"/>
          <c:order val="0"/>
          <c:tx>
            <c:strRef>
              <c:f>Лист1!$B$1</c:f>
              <c:strCache>
                <c:ptCount val="1"/>
                <c:pt idx="0">
                  <c:v>Кількість зайнятих, осіб</c:v>
                </c:pt>
              </c:strCache>
            </c:strRef>
          </c:tx>
          <c:spPr>
            <a:solidFill>
              <a:schemeClr val="accent4"/>
            </a:solidFill>
          </c:spPr>
          <c:invertIfNegative val="0"/>
          <c:dLbls>
            <c:dLbl>
              <c:idx val="0"/>
              <c:layout>
                <c:manualLayout>
                  <c:x val="1.9259124462237844E-2"/>
                  <c:y val="1.2884386217541061E-3"/>
                </c:manualLayout>
              </c:layout>
              <c:showLegendKey val="0"/>
              <c:showVal val="1"/>
              <c:showCatName val="0"/>
              <c:showSerName val="0"/>
              <c:showPercent val="0"/>
              <c:showBubbleSize val="0"/>
            </c:dLbl>
            <c:dLbl>
              <c:idx val="1"/>
              <c:layout>
                <c:manualLayout>
                  <c:x val="1.1851768899838709E-2"/>
                  <c:y val="1.2387147505224938E-2"/>
                </c:manualLayout>
              </c:layout>
              <c:showLegendKey val="0"/>
              <c:showVal val="1"/>
              <c:showCatName val="0"/>
              <c:showSerName val="0"/>
              <c:showPercent val="0"/>
              <c:showBubbleSize val="0"/>
            </c:dLbl>
            <c:dLbl>
              <c:idx val="2"/>
              <c:layout>
                <c:manualLayout>
                  <c:x val="1.3333240012318373E-2"/>
                  <c:y val="1.2684354650693355E-2"/>
                </c:manualLayout>
              </c:layout>
              <c:showLegendKey val="0"/>
              <c:showVal val="1"/>
              <c:showCatName val="0"/>
              <c:showSerName val="0"/>
              <c:showPercent val="0"/>
              <c:showBubbleSize val="0"/>
            </c:dLbl>
            <c:dLbl>
              <c:idx val="3"/>
              <c:layout>
                <c:manualLayout>
                  <c:x val="7.4073555623990969E-3"/>
                  <c:y val="3.6467138298750611E-2"/>
                </c:manualLayout>
              </c:layout>
              <c:showLegendKey val="0"/>
              <c:showVal val="1"/>
              <c:showCatName val="0"/>
              <c:showSerName val="0"/>
              <c:showPercent val="0"/>
              <c:showBubbleSize val="0"/>
            </c:dLbl>
            <c:dLbl>
              <c:idx val="4"/>
              <c:layout>
                <c:manualLayout>
                  <c:x val="2.2755477832558654E-2"/>
                  <c:y val="-5.2287474062119414E-3"/>
                </c:manualLayout>
              </c:layout>
              <c:showLegendKey val="0"/>
              <c:showVal val="1"/>
              <c:showCatName val="0"/>
              <c:showSerName val="0"/>
              <c:showPercent val="0"/>
              <c:showBubbleSize val="0"/>
            </c:dLbl>
            <c:dLbl>
              <c:idx val="5"/>
              <c:layout>
                <c:manualLayout>
                  <c:x val="9.9555215517445651E-3"/>
                  <c:y val="2.6143737031059881E-3"/>
                </c:manualLayout>
              </c:layout>
              <c:showLegendKey val="0"/>
              <c:showVal val="1"/>
              <c:showCatName val="0"/>
              <c:showSerName val="0"/>
              <c:showPercent val="0"/>
              <c:showBubbleSize val="0"/>
            </c:dLbl>
            <c:txPr>
              <a:bodyPr/>
              <a:lstStyle/>
              <a:p>
                <a:pPr>
                  <a:defRPr lang="ru-RU"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Лист1!$A$2:$A$7</c:f>
              <c:strCache>
                <c:ptCount val="6"/>
                <c:pt idx="0">
                  <c:v>2016</c:v>
                </c:pt>
                <c:pt idx="1">
                  <c:v>2017</c:v>
                </c:pt>
                <c:pt idx="2">
                  <c:v>2018</c:v>
                </c:pt>
                <c:pt idx="3">
                  <c:v>2019</c:v>
                </c:pt>
                <c:pt idx="4">
                  <c:v>2020</c:v>
                </c:pt>
                <c:pt idx="5">
                  <c:v>2021 (план)</c:v>
                </c:pt>
              </c:strCache>
            </c:strRef>
          </c:cat>
          <c:val>
            <c:numRef>
              <c:f>Лист1!$B$2:$B$7</c:f>
              <c:numCache>
                <c:formatCode>General</c:formatCode>
                <c:ptCount val="6"/>
                <c:pt idx="0">
                  <c:v>1670</c:v>
                </c:pt>
                <c:pt idx="1">
                  <c:v>1688</c:v>
                </c:pt>
                <c:pt idx="2">
                  <c:v>1699</c:v>
                </c:pt>
                <c:pt idx="3">
                  <c:v>1585</c:v>
                </c:pt>
                <c:pt idx="4">
                  <c:v>1549</c:v>
                </c:pt>
                <c:pt idx="5">
                  <c:v>1808</c:v>
                </c:pt>
              </c:numCache>
            </c:numRef>
          </c:val>
        </c:ser>
        <c:ser>
          <c:idx val="1"/>
          <c:order val="1"/>
          <c:tx>
            <c:strRef>
              <c:f>Лист1!$C$1</c:f>
              <c:strCache>
                <c:ptCount val="1"/>
                <c:pt idx="0">
                  <c:v>Обсяг видатків, млн.грн.</c:v>
                </c:pt>
              </c:strCache>
            </c:strRef>
          </c:tx>
          <c:spPr>
            <a:solidFill>
              <a:srgbClr val="FFFF00"/>
            </a:solidFill>
          </c:spPr>
          <c:invertIfNegative val="0"/>
          <c:dLbls>
            <c:dLbl>
              <c:idx val="0"/>
              <c:layout>
                <c:manualLayout>
                  <c:x val="2.5185008912156942E-2"/>
                  <c:y val="-2.9726800699988762E-3"/>
                </c:manualLayout>
              </c:layout>
              <c:showLegendKey val="0"/>
              <c:showVal val="1"/>
              <c:showCatName val="0"/>
              <c:showSerName val="0"/>
              <c:showPercent val="0"/>
              <c:showBubbleSize val="0"/>
            </c:dLbl>
            <c:dLbl>
              <c:idx val="1"/>
              <c:layout>
                <c:manualLayout>
                  <c:x val="1.1851652248570006E-2"/>
                  <c:y val="-1.0702094569893586E-2"/>
                </c:manualLayout>
              </c:layout>
              <c:showLegendKey val="0"/>
              <c:showVal val="1"/>
              <c:showCatName val="0"/>
              <c:showSerName val="0"/>
              <c:showPercent val="0"/>
              <c:showBubbleSize val="0"/>
            </c:dLbl>
            <c:dLbl>
              <c:idx val="2"/>
              <c:layout>
                <c:manualLayout>
                  <c:x val="1.7310113825554582E-2"/>
                  <c:y val="-6.873396443422131E-3"/>
                </c:manualLayout>
              </c:layout>
              <c:showLegendKey val="0"/>
              <c:showVal val="1"/>
              <c:showCatName val="0"/>
              <c:showSerName val="0"/>
              <c:showPercent val="0"/>
              <c:showBubbleSize val="0"/>
            </c:dLbl>
            <c:dLbl>
              <c:idx val="3"/>
              <c:layout>
                <c:manualLayout>
                  <c:x val="2.183167776443637E-3"/>
                  <c:y val="-5.5445456958329734E-3"/>
                </c:manualLayout>
              </c:layout>
              <c:showLegendKey val="0"/>
              <c:showVal val="1"/>
              <c:showCatName val="0"/>
              <c:showSerName val="0"/>
              <c:showPercent val="0"/>
              <c:showBubbleSize val="0"/>
            </c:dLbl>
            <c:dLbl>
              <c:idx val="4"/>
              <c:layout>
                <c:manualLayout>
                  <c:x val="2.1333260468024293E-2"/>
                  <c:y val="1.0457494812423833E-2"/>
                </c:manualLayout>
              </c:layout>
              <c:showLegendKey val="0"/>
              <c:showVal val="1"/>
              <c:showCatName val="0"/>
              <c:showSerName val="0"/>
              <c:showPercent val="0"/>
              <c:showBubbleSize val="0"/>
            </c:dLbl>
            <c:dLbl>
              <c:idx val="5"/>
              <c:layout>
                <c:manualLayout>
                  <c:x val="1.2799956280814239E-2"/>
                  <c:y val="0"/>
                </c:manualLayout>
              </c:layout>
              <c:tx>
                <c:rich>
                  <a:bodyPr/>
                  <a:lstStyle/>
                  <a:p>
                    <a:r>
                      <a:rPr lang="ru-RU"/>
                      <a:t>330,6</a:t>
                    </a:r>
                  </a:p>
                </c:rich>
              </c:tx>
              <c:showLegendKey val="0"/>
              <c:showVal val="1"/>
              <c:showCatName val="0"/>
              <c:showSerName val="0"/>
              <c:showPercent val="0"/>
              <c:showBubbleSize val="0"/>
            </c:dLbl>
            <c:txPr>
              <a:bodyPr/>
              <a:lstStyle/>
              <a:p>
                <a:pPr>
                  <a:defRPr lang="ru-RU"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Лист1!$A$2:$A$7</c:f>
              <c:strCache>
                <c:ptCount val="6"/>
                <c:pt idx="0">
                  <c:v>2016</c:v>
                </c:pt>
                <c:pt idx="1">
                  <c:v>2017</c:v>
                </c:pt>
                <c:pt idx="2">
                  <c:v>2018</c:v>
                </c:pt>
                <c:pt idx="3">
                  <c:v>2019</c:v>
                </c:pt>
                <c:pt idx="4">
                  <c:v>2020</c:v>
                </c:pt>
                <c:pt idx="5">
                  <c:v>2021 (план)</c:v>
                </c:pt>
              </c:strCache>
            </c:strRef>
          </c:cat>
          <c:val>
            <c:numRef>
              <c:f>Лист1!$C$2:$C$7</c:f>
              <c:numCache>
                <c:formatCode>0.0</c:formatCode>
                <c:ptCount val="6"/>
                <c:pt idx="0">
                  <c:v>110</c:v>
                </c:pt>
                <c:pt idx="1">
                  <c:v>151.80000000000001</c:v>
                </c:pt>
                <c:pt idx="2">
                  <c:v>187.7</c:v>
                </c:pt>
                <c:pt idx="3">
                  <c:v>204.5</c:v>
                </c:pt>
                <c:pt idx="4">
                  <c:v>226.2</c:v>
                </c:pt>
                <c:pt idx="5">
                  <c:v>314.60000000000002</c:v>
                </c:pt>
              </c:numCache>
            </c:numRef>
          </c:val>
        </c:ser>
        <c:ser>
          <c:idx val="2"/>
          <c:order val="2"/>
          <c:tx>
            <c:strRef>
              <c:f>Лист1!$D$1</c:f>
              <c:strCache>
                <c:ptCount val="1"/>
                <c:pt idx="0">
                  <c:v>Костянтинівка</c:v>
                </c:pt>
              </c:strCache>
            </c:strRef>
          </c:tx>
          <c:invertIfNegative val="0"/>
          <c:dLbls>
            <c:dLbl>
              <c:idx val="0"/>
              <c:layout>
                <c:manualLayout>
                  <c:x val="-5.1851488936793734E-2"/>
                  <c:y val="-4.5583922873438924E-2"/>
                </c:manualLayout>
              </c:layout>
              <c:showLegendKey val="0"/>
              <c:showVal val="1"/>
              <c:showCatName val="0"/>
              <c:showSerName val="0"/>
              <c:showPercent val="0"/>
              <c:showBubbleSize val="0"/>
            </c:dLbl>
            <c:dLbl>
              <c:idx val="1"/>
              <c:layout>
                <c:manualLayout>
                  <c:x val="-5.1851488936793734E-2"/>
                  <c:y val="-5.0142315160781985E-2"/>
                </c:manualLayout>
              </c:layout>
              <c:showLegendKey val="0"/>
              <c:showVal val="1"/>
              <c:showCatName val="0"/>
              <c:showSerName val="0"/>
              <c:showPercent val="0"/>
              <c:showBubbleSize val="0"/>
            </c:dLbl>
            <c:dLbl>
              <c:idx val="2"/>
              <c:layout>
                <c:manualLayout>
                  <c:x val="-5.1851488936793734E-2"/>
                  <c:y val="-4.1025530586094365E-2"/>
                </c:manualLayout>
              </c:layout>
              <c:showLegendKey val="0"/>
              <c:showVal val="1"/>
              <c:showCatName val="0"/>
              <c:showSerName val="0"/>
              <c:showPercent val="0"/>
              <c:showBubbleSize val="0"/>
            </c:dLbl>
            <c:dLbl>
              <c:idx val="3"/>
              <c:layout>
                <c:manualLayout>
                  <c:x val="-5.1851488936793734E-2"/>
                  <c:y val="-3.646713829875061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Лист1!$A$2:$A$7</c:f>
              <c:strCache>
                <c:ptCount val="6"/>
                <c:pt idx="0">
                  <c:v>2016</c:v>
                </c:pt>
                <c:pt idx="1">
                  <c:v>2017</c:v>
                </c:pt>
                <c:pt idx="2">
                  <c:v>2018</c:v>
                </c:pt>
                <c:pt idx="3">
                  <c:v>2019</c:v>
                </c:pt>
                <c:pt idx="4">
                  <c:v>2020</c:v>
                </c:pt>
                <c:pt idx="5">
                  <c:v>2021 (план)</c:v>
                </c:pt>
              </c:strCache>
            </c:strRef>
          </c:cat>
          <c:val>
            <c:numRef>
              <c:f>Лист1!$D$2:$D$7</c:f>
            </c:numRef>
          </c:val>
          <c:shape val="box"/>
        </c:ser>
        <c:dLbls>
          <c:showLegendKey val="0"/>
          <c:showVal val="0"/>
          <c:showCatName val="0"/>
          <c:showSerName val="0"/>
          <c:showPercent val="0"/>
          <c:showBubbleSize val="0"/>
        </c:dLbls>
        <c:gapWidth val="150"/>
        <c:shape val="cylinder"/>
        <c:axId val="111412736"/>
        <c:axId val="111414272"/>
        <c:axId val="0"/>
      </c:bar3DChart>
      <c:catAx>
        <c:axId val="111412736"/>
        <c:scaling>
          <c:orientation val="minMax"/>
        </c:scaling>
        <c:delete val="0"/>
        <c:axPos val="b"/>
        <c:numFmt formatCode="General" sourceLinked="1"/>
        <c:majorTickMark val="out"/>
        <c:minorTickMark val="none"/>
        <c:tickLblPos val="nextTo"/>
        <c:txPr>
          <a:bodyPr/>
          <a:lstStyle/>
          <a:p>
            <a:pPr>
              <a:defRPr lang="ru-RU" sz="1050" b="1">
                <a:latin typeface="Times New Roman" pitchFamily="18" charset="0"/>
                <a:cs typeface="Times New Roman" pitchFamily="18" charset="0"/>
              </a:defRPr>
            </a:pPr>
            <a:endParaRPr lang="ru-RU"/>
          </a:p>
        </c:txPr>
        <c:crossAx val="111414272"/>
        <c:crosses val="autoZero"/>
        <c:auto val="1"/>
        <c:lblAlgn val="ctr"/>
        <c:lblOffset val="100"/>
        <c:noMultiLvlLbl val="0"/>
      </c:catAx>
      <c:valAx>
        <c:axId val="111414272"/>
        <c:scaling>
          <c:orientation val="minMax"/>
        </c:scaling>
        <c:delete val="1"/>
        <c:axPos val="l"/>
        <c:numFmt formatCode="0%" sourceLinked="1"/>
        <c:majorTickMark val="out"/>
        <c:minorTickMark val="none"/>
        <c:tickLblPos val="nextTo"/>
        <c:crossAx val="111412736"/>
        <c:crosses val="autoZero"/>
        <c:crossBetween val="between"/>
      </c:valAx>
    </c:plotArea>
    <c:legend>
      <c:legendPos val="r"/>
      <c:layout>
        <c:manualLayout>
          <c:xMode val="edge"/>
          <c:yMode val="edge"/>
          <c:x val="0"/>
          <c:y val="0.85918300688783844"/>
          <c:w val="0.54954647697746439"/>
          <c:h val="0.13456490234182136"/>
        </c:manualLayout>
      </c:layout>
      <c:overlay val="0"/>
      <c:txPr>
        <a:bodyPr/>
        <a:lstStyle/>
        <a:p>
          <a:pPr>
            <a:defRPr lang="ru-RU" sz="1100" b="1">
              <a:latin typeface="Times New Roman" pitchFamily="18" charset="0"/>
              <a:cs typeface="Times New Roman" pitchFamily="18" charset="0"/>
            </a:defRPr>
          </a:pPr>
          <a:endParaRPr lang="ru-RU"/>
        </a:p>
      </c:txPr>
    </c:legend>
    <c:plotVisOnly val="1"/>
    <c:dispBlanksAs val="gap"/>
    <c:showDLblsOverMax val="0"/>
  </c:chart>
  <c:txPr>
    <a:bodyPr/>
    <a:lstStyle/>
    <a:p>
      <a:pPr>
        <a:defRPr sz="1800"/>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7.4073555623990969E-3"/>
          <c:y val="2.132021457957046E-3"/>
          <c:w val="0.95889652565861305"/>
          <c:h val="0.91468980727565163"/>
        </c:manualLayout>
      </c:layout>
      <c:barChart>
        <c:barDir val="bar"/>
        <c:grouping val="clustered"/>
        <c:varyColors val="0"/>
        <c:ser>
          <c:idx val="3"/>
          <c:order val="3"/>
          <c:tx>
            <c:strRef>
              <c:f>Лист1!$B$1</c:f>
            </c:strRef>
          </c:tx>
          <c:invertIfNegative val="0"/>
          <c:cat>
            <c:multiLvlStrRef>
              <c:f>Лист1!$A$2:$A$6</c:f>
            </c:multiLvlStrRef>
          </c:cat>
          <c:val>
            <c:numRef>
              <c:f>Лист1!$B$2:$B$6</c:f>
            </c:numRef>
          </c:val>
        </c:ser>
        <c:ser>
          <c:idx val="0"/>
          <c:order val="0"/>
          <c:tx>
            <c:strRef>
              <c:f>Лист1!$B$1</c:f>
              <c:strCache>
                <c:ptCount val="1"/>
                <c:pt idx="0">
                  <c:v>Проєкт</c:v>
                </c:pt>
              </c:strCache>
            </c:strRef>
          </c:tx>
          <c:spPr>
            <a:solidFill>
              <a:schemeClr val="accent2">
                <a:lumMod val="60000"/>
                <a:lumOff val="40000"/>
              </a:schemeClr>
            </a:solidFill>
          </c:spPr>
          <c:invertIfNegative val="0"/>
          <c:dLbls>
            <c:dLbl>
              <c:idx val="0"/>
              <c:layout>
                <c:manualLayout>
                  <c:x val="-2.9629422249596391E-3"/>
                  <c:y val="-1.9441968833746615E-7"/>
                </c:manualLayout>
              </c:layout>
              <c:showLegendKey val="0"/>
              <c:showVal val="1"/>
              <c:showCatName val="0"/>
              <c:showSerName val="0"/>
              <c:showPercent val="0"/>
              <c:showBubbleSize val="0"/>
            </c:dLbl>
            <c:dLbl>
              <c:idx val="1"/>
              <c:layout>
                <c:manualLayout>
                  <c:x val="0"/>
                  <c:y val="6.2677019126231902E-3"/>
                </c:manualLayout>
              </c:layout>
              <c:showLegendKey val="0"/>
              <c:showVal val="1"/>
              <c:showCatName val="0"/>
              <c:showSerName val="0"/>
              <c:showPercent val="0"/>
              <c:showBubbleSize val="0"/>
            </c:dLbl>
            <c:dLbl>
              <c:idx val="2"/>
              <c:layout>
                <c:manualLayout>
                  <c:x val="7.4072389111305729E-3"/>
                  <c:y val="-3.4188702194142837E-3"/>
                </c:manualLayout>
              </c:layout>
              <c:showLegendKey val="0"/>
              <c:showVal val="1"/>
              <c:showCatName val="0"/>
              <c:showSerName val="0"/>
              <c:showPercent val="0"/>
              <c:showBubbleSize val="0"/>
            </c:dLbl>
            <c:dLbl>
              <c:idx val="3"/>
              <c:layout>
                <c:manualLayout>
                  <c:x val="1.4814711124798193E-3"/>
                  <c:y val="-1.2915494315945991E-2"/>
                </c:manualLayout>
              </c:layout>
              <c:showLegendKey val="0"/>
              <c:showVal val="1"/>
              <c:showCatName val="0"/>
              <c:showSerName val="0"/>
              <c:showPercent val="0"/>
              <c:showBubbleSize val="0"/>
            </c:dLbl>
            <c:dLbl>
              <c:idx val="7"/>
              <c:layout>
                <c:manualLayout>
                  <c:x val="7.1110613399031533E-2"/>
                  <c:y val="2.2503454368841868E-3"/>
                </c:manualLayout>
              </c:layout>
              <c:showLegendKey val="0"/>
              <c:showVal val="1"/>
              <c:showCatName val="0"/>
              <c:showSerName val="0"/>
              <c:showPercent val="0"/>
              <c:showBubbleSize val="0"/>
            </c:dLbl>
            <c:txPr>
              <a:bodyPr/>
              <a:lstStyle/>
              <a:p>
                <a:pPr>
                  <a:defRPr lang="ru-RU" sz="1100"/>
                </a:pPr>
                <a:endParaRPr lang="ru-RU"/>
              </a:p>
            </c:txPr>
            <c:showLegendKey val="0"/>
            <c:showVal val="1"/>
            <c:showCatName val="0"/>
            <c:showSerName val="0"/>
            <c:showPercent val="0"/>
            <c:showBubbleSize val="0"/>
            <c:showLeaderLines val="0"/>
          </c:dLbls>
          <c:cat>
            <c:strRef>
              <c:f>Лист1!$A$2:$A$9</c:f>
              <c:strCache>
                <c:ptCount val="8"/>
                <c:pt idx="0">
                  <c:v>Костянтинівський ЗЗСО № 3</c:v>
                </c:pt>
                <c:pt idx="1">
                  <c:v>Костянтинівський ЗЗСО № 6</c:v>
                </c:pt>
                <c:pt idx="2">
                  <c:v>Костянтинівська ЗШО № 9</c:v>
                </c:pt>
                <c:pt idx="3">
                  <c:v>Костянтинівська ЗШО № 15</c:v>
                </c:pt>
                <c:pt idx="4">
                  <c:v>Костянтинівський ЗЗСО № 16</c:v>
                </c:pt>
                <c:pt idx="5">
                  <c:v>Костянтинівський НВК - сад</c:v>
                </c:pt>
                <c:pt idx="6">
                  <c:v>Білокузьминівський ліцей</c:v>
                </c:pt>
                <c:pt idx="7">
                  <c:v>Марківський ліцей</c:v>
                </c:pt>
              </c:strCache>
            </c:strRef>
          </c:cat>
          <c:val>
            <c:numRef>
              <c:f>Лист1!$B$2:$B$9</c:f>
              <c:numCache>
                <c:formatCode>General</c:formatCode>
                <c:ptCount val="8"/>
                <c:pt idx="0">
                  <c:v>820</c:v>
                </c:pt>
                <c:pt idx="1">
                  <c:v>868</c:v>
                </c:pt>
                <c:pt idx="2">
                  <c:v>607</c:v>
                </c:pt>
                <c:pt idx="3">
                  <c:v>633</c:v>
                </c:pt>
                <c:pt idx="4">
                  <c:v>621</c:v>
                </c:pt>
                <c:pt idx="5">
                  <c:v>578</c:v>
                </c:pt>
                <c:pt idx="6">
                  <c:v>200</c:v>
                </c:pt>
                <c:pt idx="7">
                  <c:v>100</c:v>
                </c:pt>
              </c:numCache>
            </c:numRef>
          </c:val>
        </c:ser>
        <c:ser>
          <c:idx val="1"/>
          <c:order val="1"/>
          <c:tx>
            <c:strRef>
              <c:f>Лист1!$C$1</c:f>
              <c:strCache>
                <c:ptCount val="1"/>
                <c:pt idx="0">
                  <c:v>Факт</c:v>
                </c:pt>
              </c:strCache>
            </c:strRef>
          </c:tx>
          <c:spPr>
            <a:solidFill>
              <a:srgbClr val="FFC000"/>
            </a:solidFill>
          </c:spPr>
          <c:invertIfNegative val="0"/>
          <c:dLbls>
            <c:dLbl>
              <c:idx val="0"/>
              <c:layout>
                <c:manualLayout>
                  <c:x val="1.4814711124798193E-3"/>
                  <c:y val="-1.9183390648257727E-2"/>
                </c:manualLayout>
              </c:layout>
              <c:showLegendKey val="0"/>
              <c:showVal val="1"/>
              <c:showCatName val="0"/>
              <c:showSerName val="0"/>
              <c:showPercent val="0"/>
              <c:showBubbleSize val="0"/>
            </c:dLbl>
            <c:dLbl>
              <c:idx val="1"/>
              <c:layout>
                <c:manualLayout>
                  <c:x val="0"/>
                  <c:y val="-1.4244936144797559E-2"/>
                </c:manualLayout>
              </c:layout>
              <c:showLegendKey val="0"/>
              <c:showVal val="1"/>
              <c:showCatName val="0"/>
              <c:showSerName val="0"/>
              <c:showPercent val="0"/>
              <c:showBubbleSize val="0"/>
            </c:dLbl>
            <c:dLbl>
              <c:idx val="2"/>
              <c:layout>
                <c:manualLayout>
                  <c:x val="1.4814711124798193E-3"/>
                  <c:y val="-9.1167280255203056E-3"/>
                </c:manualLayout>
              </c:layout>
              <c:showLegendKey val="0"/>
              <c:showVal val="1"/>
              <c:showCatName val="0"/>
              <c:showSerName val="0"/>
              <c:showPercent val="0"/>
              <c:showBubbleSize val="0"/>
            </c:dLbl>
            <c:dLbl>
              <c:idx val="3"/>
              <c:layout>
                <c:manualLayout>
                  <c:x val="0"/>
                  <c:y val="-2.6590780773914852E-3"/>
                </c:manualLayout>
              </c:layout>
              <c:showLegendKey val="0"/>
              <c:showVal val="1"/>
              <c:showCatName val="0"/>
              <c:showSerName val="0"/>
              <c:showPercent val="0"/>
              <c:showBubbleSize val="0"/>
            </c:dLbl>
            <c:dLbl>
              <c:idx val="4"/>
              <c:layout>
                <c:manualLayout>
                  <c:x val="-1.4814711124798193E-3"/>
                  <c:y val="-1.2345650209428941E-2"/>
                </c:manualLayout>
              </c:layout>
              <c:showLegendKey val="0"/>
              <c:showVal val="1"/>
              <c:showCatName val="0"/>
              <c:showSerName val="0"/>
              <c:showPercent val="0"/>
              <c:showBubbleSize val="0"/>
            </c:dLbl>
            <c:dLbl>
              <c:idx val="5"/>
              <c:layout>
                <c:manualLayout>
                  <c:x val="-1.4814711124798193E-3"/>
                  <c:y val="-4.9382600837717056E-3"/>
                </c:manualLayout>
              </c:layout>
              <c:showLegendKey val="0"/>
              <c:showVal val="1"/>
              <c:showCatName val="0"/>
              <c:showSerName val="0"/>
              <c:showPercent val="0"/>
              <c:showBubbleSize val="0"/>
            </c:dLbl>
            <c:dLbl>
              <c:idx val="7"/>
              <c:layout>
                <c:manualLayout>
                  <c:x val="5.9258844499192775E-2"/>
                  <c:y val="1.3404616716558221E-3"/>
                </c:manualLayout>
              </c:layout>
              <c:showLegendKey val="0"/>
              <c:showVal val="1"/>
              <c:showCatName val="0"/>
              <c:showSerName val="0"/>
              <c:showPercent val="0"/>
              <c:showBubbleSize val="0"/>
            </c:dLbl>
            <c:txPr>
              <a:bodyPr/>
              <a:lstStyle/>
              <a:p>
                <a:pPr>
                  <a:defRPr lang="ru-RU" sz="1100"/>
                </a:pPr>
                <a:endParaRPr lang="ru-RU"/>
              </a:p>
            </c:txPr>
            <c:showLegendKey val="0"/>
            <c:showVal val="1"/>
            <c:showCatName val="0"/>
            <c:showSerName val="0"/>
            <c:showPercent val="0"/>
            <c:showBubbleSize val="0"/>
            <c:showLeaderLines val="0"/>
          </c:dLbls>
          <c:cat>
            <c:strRef>
              <c:f>Лист1!$A$2:$A$9</c:f>
              <c:strCache>
                <c:ptCount val="8"/>
                <c:pt idx="0">
                  <c:v>Костянтинівський ЗЗСО № 3</c:v>
                </c:pt>
                <c:pt idx="1">
                  <c:v>Костянтинівський ЗЗСО № 6</c:v>
                </c:pt>
                <c:pt idx="2">
                  <c:v>Костянтинівська ЗШО № 9</c:v>
                </c:pt>
                <c:pt idx="3">
                  <c:v>Костянтинівська ЗШО № 15</c:v>
                </c:pt>
                <c:pt idx="4">
                  <c:v>Костянтинівський ЗЗСО № 16</c:v>
                </c:pt>
                <c:pt idx="5">
                  <c:v>Костянтинівський НВК - сад</c:v>
                </c:pt>
                <c:pt idx="6">
                  <c:v>Білокузьминівський ліцей</c:v>
                </c:pt>
                <c:pt idx="7">
                  <c:v>Марківський ліцей</c:v>
                </c:pt>
              </c:strCache>
            </c:strRef>
          </c:cat>
          <c:val>
            <c:numRef>
              <c:f>Лист1!$C$2:$C$9</c:f>
              <c:numCache>
                <c:formatCode>General</c:formatCode>
                <c:ptCount val="8"/>
                <c:pt idx="0">
                  <c:v>578</c:v>
                </c:pt>
                <c:pt idx="1">
                  <c:v>592</c:v>
                </c:pt>
                <c:pt idx="2">
                  <c:v>311</c:v>
                </c:pt>
                <c:pt idx="3">
                  <c:v>286</c:v>
                </c:pt>
                <c:pt idx="4">
                  <c:v>348</c:v>
                </c:pt>
                <c:pt idx="5">
                  <c:v>276</c:v>
                </c:pt>
                <c:pt idx="6">
                  <c:v>120</c:v>
                </c:pt>
                <c:pt idx="7">
                  <c:v>65</c:v>
                </c:pt>
              </c:numCache>
            </c:numRef>
          </c:val>
        </c:ser>
        <c:ser>
          <c:idx val="2"/>
          <c:order val="2"/>
          <c:tx>
            <c:strRef>
              <c:f>Лист1!$D$1</c:f>
              <c:strCache>
                <c:ptCount val="1"/>
                <c:pt idx="0">
                  <c:v>Відсоток заповненості</c:v>
                </c:pt>
              </c:strCache>
            </c:strRef>
          </c:tx>
          <c:spPr>
            <a:solidFill>
              <a:srgbClr val="D60093"/>
            </a:solidFill>
          </c:spPr>
          <c:invertIfNegative val="0"/>
          <c:dLbls>
            <c:dLbl>
              <c:idx val="0"/>
              <c:layout>
                <c:manualLayout>
                  <c:x val="-2.9629422249595845E-3"/>
                  <c:y val="-1.1016013960888979E-2"/>
                </c:manualLayout>
              </c:layout>
              <c:showLegendKey val="0"/>
              <c:showVal val="1"/>
              <c:showCatName val="0"/>
              <c:showSerName val="0"/>
              <c:showPercent val="0"/>
              <c:showBubbleSize val="0"/>
            </c:dLbl>
            <c:dLbl>
              <c:idx val="1"/>
              <c:layout>
                <c:manualLayout>
                  <c:x val="5.9258844499192774E-3"/>
                  <c:y val="-8.1671822676802411E-3"/>
                </c:manualLayout>
              </c:layout>
              <c:showLegendKey val="0"/>
              <c:showVal val="1"/>
              <c:showCatName val="0"/>
              <c:showSerName val="0"/>
              <c:showPercent val="0"/>
              <c:showBubbleSize val="0"/>
            </c:dLbl>
            <c:dLbl>
              <c:idx val="2"/>
              <c:layout>
                <c:manualLayout>
                  <c:x val="5.4319979948552511E-17"/>
                  <c:y val="-1.6334170115671943E-2"/>
                </c:manualLayout>
              </c:layout>
              <c:showLegendKey val="0"/>
              <c:showVal val="1"/>
              <c:showCatName val="0"/>
              <c:showSerName val="0"/>
              <c:showPercent val="0"/>
              <c:showBubbleSize val="0"/>
            </c:dLbl>
            <c:dLbl>
              <c:idx val="3"/>
              <c:layout>
                <c:manualLayout>
                  <c:x val="-4.4444133374394578E-3"/>
                  <c:y val="-9.306676061026092E-3"/>
                </c:manualLayout>
              </c:layout>
              <c:showLegendKey val="0"/>
              <c:showVal val="1"/>
              <c:showCatName val="0"/>
              <c:showSerName val="0"/>
              <c:showPercent val="0"/>
              <c:showBubbleSize val="0"/>
            </c:dLbl>
            <c:dLbl>
              <c:idx val="4"/>
              <c:layout>
                <c:manualLayout>
                  <c:x val="-1.4814711124797649E-3"/>
                  <c:y val="-1.7283910293200443E-2"/>
                </c:manualLayout>
              </c:layout>
              <c:showLegendKey val="0"/>
              <c:showVal val="1"/>
              <c:showCatName val="0"/>
              <c:showSerName val="0"/>
              <c:showPercent val="0"/>
              <c:showBubbleSize val="0"/>
            </c:dLbl>
            <c:dLbl>
              <c:idx val="5"/>
              <c:layout>
                <c:manualLayout>
                  <c:x val="2.9629422249595845E-3"/>
                  <c:y val="-9.8765201675431267E-3"/>
                </c:manualLayout>
              </c:layout>
              <c:showLegendKey val="0"/>
              <c:showVal val="1"/>
              <c:showCatName val="0"/>
              <c:showSerName val="0"/>
              <c:showPercent val="0"/>
              <c:showBubbleSize val="0"/>
            </c:dLbl>
            <c:dLbl>
              <c:idx val="6"/>
              <c:layout>
                <c:manualLayout>
                  <c:x val="-1.1851768899838756E-2"/>
                  <c:y val="-1.9753040335086281E-2"/>
                </c:manualLayout>
              </c:layout>
              <c:showLegendKey val="0"/>
              <c:showVal val="1"/>
              <c:showCatName val="0"/>
              <c:showSerName val="0"/>
              <c:showPercent val="0"/>
              <c:showBubbleSize val="0"/>
            </c:dLbl>
            <c:dLbl>
              <c:idx val="7"/>
              <c:layout>
                <c:manualLayout>
                  <c:x val="-5.9258844499192774E-3"/>
                  <c:y val="-4.1841767134550853E-3"/>
                </c:manualLayout>
              </c:layout>
              <c:showLegendKey val="0"/>
              <c:showVal val="1"/>
              <c:showCatName val="0"/>
              <c:showSerName val="0"/>
              <c:showPercent val="0"/>
              <c:showBubbleSize val="0"/>
            </c:dLbl>
            <c:txPr>
              <a:bodyPr/>
              <a:lstStyle/>
              <a:p>
                <a:pPr>
                  <a:defRPr lang="ru-RU" sz="1100"/>
                </a:pPr>
                <a:endParaRPr lang="ru-RU"/>
              </a:p>
            </c:txPr>
            <c:showLegendKey val="0"/>
            <c:showVal val="1"/>
            <c:showCatName val="0"/>
            <c:showSerName val="0"/>
            <c:showPercent val="0"/>
            <c:showBubbleSize val="0"/>
            <c:showLeaderLines val="0"/>
          </c:dLbls>
          <c:cat>
            <c:strRef>
              <c:f>Лист1!$A$2:$A$9</c:f>
              <c:strCache>
                <c:ptCount val="8"/>
                <c:pt idx="0">
                  <c:v>Костянтинівський ЗЗСО № 3</c:v>
                </c:pt>
                <c:pt idx="1">
                  <c:v>Костянтинівський ЗЗСО № 6</c:v>
                </c:pt>
                <c:pt idx="2">
                  <c:v>Костянтинівська ЗШО № 9</c:v>
                </c:pt>
                <c:pt idx="3">
                  <c:v>Костянтинівська ЗШО № 15</c:v>
                </c:pt>
                <c:pt idx="4">
                  <c:v>Костянтинівський ЗЗСО № 16</c:v>
                </c:pt>
                <c:pt idx="5">
                  <c:v>Костянтинівський НВК - сад</c:v>
                </c:pt>
                <c:pt idx="6">
                  <c:v>Білокузьминівський ліцей</c:v>
                </c:pt>
                <c:pt idx="7">
                  <c:v>Марківський ліцей</c:v>
                </c:pt>
              </c:strCache>
            </c:strRef>
          </c:cat>
          <c:val>
            <c:numRef>
              <c:f>Лист1!$D$2:$D$9</c:f>
              <c:numCache>
                <c:formatCode>0.0</c:formatCode>
                <c:ptCount val="8"/>
                <c:pt idx="0">
                  <c:v>71</c:v>
                </c:pt>
                <c:pt idx="1">
                  <c:v>69.099999999999994</c:v>
                </c:pt>
                <c:pt idx="2">
                  <c:v>52</c:v>
                </c:pt>
                <c:pt idx="3">
                  <c:v>46</c:v>
                </c:pt>
                <c:pt idx="4">
                  <c:v>56</c:v>
                </c:pt>
                <c:pt idx="5">
                  <c:v>48</c:v>
                </c:pt>
                <c:pt idx="6">
                  <c:v>60</c:v>
                </c:pt>
                <c:pt idx="7">
                  <c:v>65</c:v>
                </c:pt>
              </c:numCache>
            </c:numRef>
          </c:val>
        </c:ser>
        <c:dLbls>
          <c:showLegendKey val="0"/>
          <c:showVal val="0"/>
          <c:showCatName val="0"/>
          <c:showSerName val="0"/>
          <c:showPercent val="0"/>
          <c:showBubbleSize val="0"/>
        </c:dLbls>
        <c:gapWidth val="150"/>
        <c:axId val="111466752"/>
        <c:axId val="111501312"/>
      </c:barChart>
      <c:catAx>
        <c:axId val="111466752"/>
        <c:scaling>
          <c:orientation val="minMax"/>
        </c:scaling>
        <c:delete val="0"/>
        <c:axPos val="l"/>
        <c:numFmt formatCode="General" sourceLinked="1"/>
        <c:majorTickMark val="out"/>
        <c:minorTickMark val="none"/>
        <c:tickLblPos val="nextTo"/>
        <c:txPr>
          <a:bodyPr/>
          <a:lstStyle/>
          <a:p>
            <a:pPr>
              <a:defRPr lang="ru-RU" sz="1200"/>
            </a:pPr>
            <a:endParaRPr lang="ru-RU"/>
          </a:p>
        </c:txPr>
        <c:crossAx val="111501312"/>
        <c:crosses val="autoZero"/>
        <c:auto val="1"/>
        <c:lblAlgn val="ctr"/>
        <c:lblOffset val="100"/>
        <c:noMultiLvlLbl val="0"/>
      </c:catAx>
      <c:valAx>
        <c:axId val="111501312"/>
        <c:scaling>
          <c:orientation val="minMax"/>
        </c:scaling>
        <c:delete val="1"/>
        <c:axPos val="b"/>
        <c:numFmt formatCode="General" sourceLinked="1"/>
        <c:majorTickMark val="out"/>
        <c:minorTickMark val="none"/>
        <c:tickLblPos val="nextTo"/>
        <c:crossAx val="111466752"/>
        <c:crosses val="autoZero"/>
        <c:crossBetween val="between"/>
      </c:valAx>
    </c:plotArea>
    <c:legend>
      <c:legendPos val="r"/>
      <c:layout>
        <c:manualLayout>
          <c:xMode val="edge"/>
          <c:yMode val="edge"/>
          <c:x val="0"/>
          <c:y val="0.89792930938780025"/>
          <c:w val="0.97527098089718833"/>
          <c:h val="0.10207065866973909"/>
        </c:manualLayout>
      </c:layout>
      <c:overlay val="0"/>
      <c:txPr>
        <a:bodyPr/>
        <a:lstStyle/>
        <a:p>
          <a:pPr>
            <a:defRPr lang="ru-RU" sz="1200"/>
          </a:pPr>
          <a:endParaRPr lang="ru-RU"/>
        </a:p>
      </c:txPr>
    </c:legend>
    <c:plotVisOnly val="1"/>
    <c:dispBlanksAs val="gap"/>
    <c:showDLblsOverMax val="0"/>
  </c:chart>
  <c:txPr>
    <a:bodyPr/>
    <a:lstStyle/>
    <a:p>
      <a:pPr>
        <a:defRPr sz="1800" b="1">
          <a:latin typeface="Times New Roman" pitchFamily="18" charset="0"/>
          <a:cs typeface="Times New Roman"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manualLayout>
          <c:layoutTarget val="inner"/>
          <c:xMode val="edge"/>
          <c:yMode val="edge"/>
          <c:x val="3.1288782019768202E-2"/>
          <c:y val="1.5458904267996541E-2"/>
          <c:w val="0.96871121798023185"/>
          <c:h val="0.85052761118543063"/>
        </c:manualLayout>
      </c:layout>
      <c:lineChart>
        <c:grouping val="standard"/>
        <c:varyColors val="0"/>
        <c:ser>
          <c:idx val="1"/>
          <c:order val="1"/>
          <c:tx>
            <c:strRef>
              <c:f>Лист1!$B$1</c:f>
            </c:strRef>
          </c:tx>
          <c:cat>
            <c:multiLvlStrRef>
              <c:f>Лист1!$A$2:$A$6</c:f>
            </c:multiLvlStrRef>
          </c:cat>
          <c:val>
            <c:numRef>
              <c:f>Лист1!$B$2:$B$6</c:f>
            </c:numRef>
          </c:val>
          <c:smooth val="0"/>
        </c:ser>
        <c:ser>
          <c:idx val="2"/>
          <c:order val="2"/>
          <c:tx>
            <c:strRef>
              <c:f>Лист1!$B$1</c:f>
            </c:strRef>
          </c:tx>
          <c:cat>
            <c:multiLvlStrRef>
              <c:f>Лист1!$A$2:$A$9</c:f>
            </c:multiLvlStrRef>
          </c:cat>
          <c:val>
            <c:numRef>
              <c:f>Лист1!$B$2:$B$9</c:f>
            </c:numRef>
          </c:val>
          <c:smooth val="0"/>
        </c:ser>
        <c:ser>
          <c:idx val="3"/>
          <c:order val="3"/>
          <c:tx>
            <c:strRef>
              <c:f>Лист1!$C$1</c:f>
            </c:strRef>
          </c:tx>
          <c:cat>
            <c:multiLvlStrRef>
              <c:f>Лист1!$A$2:$A$9</c:f>
            </c:multiLvlStrRef>
          </c:cat>
          <c:val>
            <c:numRef>
              <c:f>Лист1!$C$2:$C$9</c:f>
            </c:numRef>
          </c:val>
          <c:smooth val="0"/>
        </c:ser>
        <c:ser>
          <c:idx val="4"/>
          <c:order val="4"/>
          <c:tx>
            <c:strRef>
              <c:f>Лист1!$D$1</c:f>
            </c:strRef>
          </c:tx>
          <c:cat>
            <c:multiLvlStrRef>
              <c:f>Лист1!$A$2:$A$9</c:f>
            </c:multiLvlStrRef>
          </c:cat>
          <c:val>
            <c:numRef>
              <c:f>Лист1!$D$2:$D$9</c:f>
            </c:numRef>
          </c:val>
          <c:smooth val="0"/>
        </c:ser>
        <c:ser>
          <c:idx val="0"/>
          <c:order val="0"/>
          <c:tx>
            <c:strRef>
              <c:f>Лист1!$B$1</c:f>
              <c:strCache>
                <c:ptCount val="1"/>
                <c:pt idx="0">
                  <c:v>Столбец1</c:v>
                </c:pt>
              </c:strCache>
            </c:strRef>
          </c:tx>
          <c:marker>
            <c:spPr>
              <a:solidFill>
                <a:schemeClr val="tx1"/>
              </a:solidFill>
            </c:spPr>
          </c:marker>
          <c:dLbls>
            <c:dLbl>
              <c:idx val="0"/>
              <c:layout>
                <c:manualLayout>
                  <c:x val="-4.9777719744342031E-2"/>
                  <c:y val="-5.6682851855413524E-2"/>
                </c:manualLayout>
              </c:layout>
              <c:tx>
                <c:rich>
                  <a:bodyPr/>
                  <a:lstStyle/>
                  <a:p>
                    <a:r>
                      <a:rPr lang="uk-UA" sz="1100" b="1" dirty="0" smtClean="0">
                        <a:latin typeface="Times New Roman" pitchFamily="18" charset="0"/>
                        <a:cs typeface="Times New Roman" pitchFamily="18" charset="0"/>
                      </a:rPr>
                      <a:t>683</a:t>
                    </a:r>
                    <a:endParaRPr lang="en-US" sz="1100" b="1" dirty="0">
                      <a:latin typeface="Times New Roman" pitchFamily="18" charset="0"/>
                      <a:cs typeface="Times New Roman" pitchFamily="18" charset="0"/>
                    </a:endParaRPr>
                  </a:p>
                </c:rich>
              </c:tx>
              <c:showLegendKey val="0"/>
              <c:showVal val="1"/>
              <c:showCatName val="0"/>
              <c:showSerName val="0"/>
              <c:showPercent val="0"/>
              <c:showBubbleSize val="0"/>
            </c:dLbl>
            <c:dLbl>
              <c:idx val="1"/>
              <c:layout>
                <c:manualLayout>
                  <c:x val="-3.5555434113372898E-2"/>
                  <c:y val="-5.6682648982653967E-2"/>
                </c:manualLayout>
              </c:layout>
              <c:showLegendKey val="0"/>
              <c:showVal val="1"/>
              <c:showCatName val="0"/>
              <c:showSerName val="0"/>
              <c:showPercent val="0"/>
              <c:showBubbleSize val="0"/>
            </c:dLbl>
            <c:dLbl>
              <c:idx val="2"/>
              <c:layout>
                <c:manualLayout>
                  <c:x val="-3.1288782019768202E-2"/>
                  <c:y val="-4.6376712803989632E-2"/>
                </c:manualLayout>
              </c:layout>
              <c:tx>
                <c:rich>
                  <a:bodyPr/>
                  <a:lstStyle/>
                  <a:p>
                    <a:r>
                      <a:rPr lang="uk-UA" sz="1100" b="1" dirty="0" smtClean="0">
                        <a:latin typeface="Times New Roman" pitchFamily="18" charset="0"/>
                        <a:cs typeface="Times New Roman" pitchFamily="18" charset="0"/>
                      </a:rPr>
                      <a:t>662</a:t>
                    </a:r>
                    <a:endParaRPr lang="en-US" sz="1100" b="1" dirty="0">
                      <a:latin typeface="Times New Roman" pitchFamily="18" charset="0"/>
                      <a:cs typeface="Times New Roman" pitchFamily="18" charset="0"/>
                    </a:endParaRPr>
                  </a:p>
                </c:rich>
              </c:tx>
              <c:showLegendKey val="0"/>
              <c:showVal val="1"/>
              <c:showCatName val="0"/>
              <c:showSerName val="0"/>
              <c:showPercent val="0"/>
              <c:showBubbleSize val="0"/>
            </c:dLbl>
            <c:dLbl>
              <c:idx val="3"/>
              <c:layout>
                <c:manualLayout>
                  <c:x val="-3.2710999384303212E-2"/>
                  <c:y val="-5.4106164937988546E-2"/>
                </c:manualLayout>
              </c:layout>
              <c:showLegendKey val="0"/>
              <c:showVal val="1"/>
              <c:showCatName val="0"/>
              <c:showSerName val="0"/>
              <c:showPercent val="0"/>
              <c:showBubbleSize val="0"/>
            </c:dLbl>
            <c:dLbl>
              <c:idx val="4"/>
              <c:layout>
                <c:manualLayout>
                  <c:x val="-4.4088738300582402E-2"/>
                  <c:y val="-5.9259335900079486E-2"/>
                </c:manualLayout>
              </c:layout>
              <c:showLegendKey val="0"/>
              <c:showVal val="1"/>
              <c:showCatName val="0"/>
              <c:showSerName val="0"/>
              <c:showPercent val="0"/>
              <c:showBubbleSize val="0"/>
            </c:dLbl>
            <c:dLbl>
              <c:idx val="5"/>
              <c:layout>
                <c:manualLayout>
                  <c:x val="-2.9866564655233178E-2"/>
                  <c:y val="-4.8953399721415117E-2"/>
                </c:manualLayout>
              </c:layout>
              <c:showLegendKey val="0"/>
              <c:showVal val="1"/>
              <c:showCatName val="0"/>
              <c:showSerName val="0"/>
              <c:showPercent val="0"/>
              <c:showBubbleSize val="0"/>
            </c:dLbl>
            <c:dLbl>
              <c:idx val="6"/>
              <c:layout>
                <c:manualLayout>
                  <c:x val="-3.2710999384303212E-2"/>
                  <c:y val="-4.8953196848655733E-2"/>
                </c:manualLayout>
              </c:layout>
              <c:showLegendKey val="0"/>
              <c:showVal val="1"/>
              <c:showCatName val="0"/>
              <c:showSerName val="0"/>
              <c:showPercent val="0"/>
              <c:showBubbleSize val="0"/>
            </c:dLbl>
            <c:dLbl>
              <c:idx val="7"/>
              <c:layout>
                <c:manualLayout>
                  <c:x val="-3.5555434113372898E-2"/>
                  <c:y val="-6.4412101116652423E-2"/>
                </c:manualLayout>
              </c:layout>
              <c:spPr/>
              <c:txPr>
                <a:bodyPr/>
                <a:lstStyle/>
                <a:p>
                  <a:pPr>
                    <a:defRPr lang="ru-RU" sz="1100" b="1">
                      <a:solidFill>
                        <a:srgbClr val="FF0000"/>
                      </a:solidFill>
                      <a:latin typeface="Times New Roman" pitchFamily="18" charset="0"/>
                      <a:cs typeface="Times New Roman" pitchFamily="18" charset="0"/>
                    </a:defRPr>
                  </a:pPr>
                  <a:endParaRPr lang="ru-RU"/>
                </a:p>
              </c:txPr>
              <c:showLegendKey val="0"/>
              <c:showVal val="1"/>
              <c:showCatName val="0"/>
              <c:showSerName val="0"/>
              <c:showPercent val="0"/>
              <c:showBubbleSize val="0"/>
            </c:dLbl>
            <c:dLbl>
              <c:idx val="8"/>
              <c:layout>
                <c:manualLayout>
                  <c:x val="-6.1155346675001346E-2"/>
                  <c:y val="-4.6376712803989632E-2"/>
                </c:manualLayout>
              </c:layout>
              <c:spPr/>
              <c:txPr>
                <a:bodyPr/>
                <a:lstStyle/>
                <a:p>
                  <a:pPr>
                    <a:defRPr lang="ru-RU" sz="1100" b="1">
                      <a:solidFill>
                        <a:srgbClr val="FF0000"/>
                      </a:solidFill>
                      <a:latin typeface="Times New Roman" pitchFamily="18" charset="0"/>
                      <a:cs typeface="Times New Roman" pitchFamily="18" charset="0"/>
                    </a:defRPr>
                  </a:pPr>
                  <a:endParaRPr lang="ru-RU"/>
                </a:p>
              </c:txPr>
              <c:showLegendKey val="0"/>
              <c:showVal val="1"/>
              <c:showCatName val="0"/>
              <c:showSerName val="0"/>
              <c:showPercent val="0"/>
              <c:showBubbleSize val="0"/>
            </c:dLbl>
            <c:dLbl>
              <c:idx val="9"/>
              <c:layout>
                <c:manualLayout>
                  <c:x val="-3.2710999384302962E-2"/>
                  <c:y val="-5.6682648982653967E-2"/>
                </c:manualLayout>
              </c:layout>
              <c:spPr/>
              <c:txPr>
                <a:bodyPr/>
                <a:lstStyle/>
                <a:p>
                  <a:pPr>
                    <a:defRPr lang="ru-RU" sz="1100" b="1">
                      <a:solidFill>
                        <a:srgbClr val="FF0000"/>
                      </a:solidFill>
                      <a:latin typeface="Times New Roman" pitchFamily="18" charset="0"/>
                      <a:cs typeface="Times New Roman" pitchFamily="18" charset="0"/>
                    </a:defRPr>
                  </a:pPr>
                  <a:endParaRPr lang="ru-RU"/>
                </a:p>
              </c:txPr>
              <c:showLegendKey val="0"/>
              <c:showVal val="1"/>
              <c:showCatName val="0"/>
              <c:showSerName val="0"/>
              <c:showPercent val="0"/>
              <c:showBubbleSize val="0"/>
            </c:dLbl>
            <c:dLbl>
              <c:idx val="10"/>
              <c:layout>
                <c:manualLayout>
                  <c:x val="-1.1377738916279431E-2"/>
                  <c:y val="-5.4106164937988546E-2"/>
                </c:manualLayout>
              </c:layout>
              <c:spPr/>
              <c:txPr>
                <a:bodyPr/>
                <a:lstStyle/>
                <a:p>
                  <a:pPr>
                    <a:defRPr lang="ru-RU" sz="1100" b="1">
                      <a:solidFill>
                        <a:srgbClr val="FF0000"/>
                      </a:solidFill>
                      <a:latin typeface="Times New Roman" pitchFamily="18" charset="0"/>
                      <a:cs typeface="Times New Roman" pitchFamily="18" charset="0"/>
                    </a:defRPr>
                  </a:pPr>
                  <a:endParaRPr lang="ru-RU"/>
                </a:p>
              </c:txPr>
              <c:showLegendKey val="0"/>
              <c:showVal val="1"/>
              <c:showCatName val="0"/>
              <c:showSerName val="0"/>
              <c:showPercent val="0"/>
              <c:showBubbleSize val="0"/>
            </c:dLbl>
            <c:dLbl>
              <c:idx val="11"/>
              <c:layout>
                <c:manualLayout>
                  <c:x val="-2.1333260468024293E-2"/>
                  <c:y val="-5.9259133027320082E-2"/>
                </c:manualLayout>
              </c:layout>
              <c:spPr/>
              <c:txPr>
                <a:bodyPr/>
                <a:lstStyle/>
                <a:p>
                  <a:pPr>
                    <a:defRPr lang="ru-RU" sz="1100" b="1">
                      <a:solidFill>
                        <a:srgbClr val="FF0000"/>
                      </a:solidFill>
                      <a:latin typeface="Times New Roman" pitchFamily="18" charset="0"/>
                      <a:cs typeface="Times New Roman" pitchFamily="18" charset="0"/>
                    </a:defRPr>
                  </a:pPr>
                  <a:endParaRPr lang="ru-RU"/>
                </a:p>
              </c:txPr>
              <c:showLegendKey val="0"/>
              <c:showVal val="1"/>
              <c:showCatName val="0"/>
              <c:showSerName val="0"/>
              <c:showPercent val="0"/>
              <c:showBubbleSize val="0"/>
            </c:dLbl>
            <c:dLbl>
              <c:idx val="12"/>
              <c:layout>
                <c:manualLayout>
                  <c:x val="-2.417769519709359E-2"/>
                  <c:y val="-4.8953196848655733E-2"/>
                </c:manualLayout>
              </c:layout>
              <c:spPr/>
              <c:txPr>
                <a:bodyPr/>
                <a:lstStyle/>
                <a:p>
                  <a:pPr>
                    <a:defRPr lang="ru-RU" sz="1100" b="1">
                      <a:solidFill>
                        <a:srgbClr val="FF0000"/>
                      </a:solidFill>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lang="ru-RU"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Лист1!$A$2:$A$14</c:f>
              <c:strCache>
                <c:ptCount val="13"/>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strCache>
            </c:strRef>
          </c:cat>
          <c:val>
            <c:numRef>
              <c:f>Лист1!$B$2:$B$14</c:f>
              <c:numCache>
                <c:formatCode>General</c:formatCode>
                <c:ptCount val="13"/>
                <c:pt idx="0">
                  <c:v>683</c:v>
                </c:pt>
                <c:pt idx="1">
                  <c:v>759</c:v>
                </c:pt>
                <c:pt idx="2">
                  <c:v>662</c:v>
                </c:pt>
                <c:pt idx="3">
                  <c:v>595</c:v>
                </c:pt>
                <c:pt idx="4">
                  <c:v>664</c:v>
                </c:pt>
                <c:pt idx="5">
                  <c:v>644</c:v>
                </c:pt>
                <c:pt idx="6">
                  <c:v>647</c:v>
                </c:pt>
                <c:pt idx="7">
                  <c:v>507</c:v>
                </c:pt>
                <c:pt idx="8">
                  <c:v>708</c:v>
                </c:pt>
                <c:pt idx="9">
                  <c:v>820</c:v>
                </c:pt>
                <c:pt idx="10">
                  <c:v>472</c:v>
                </c:pt>
                <c:pt idx="11">
                  <c:v>357</c:v>
                </c:pt>
                <c:pt idx="12">
                  <c:v>293</c:v>
                </c:pt>
              </c:numCache>
            </c:numRef>
          </c:val>
          <c:smooth val="0"/>
        </c:ser>
        <c:dLbls>
          <c:showLegendKey val="0"/>
          <c:showVal val="0"/>
          <c:showCatName val="0"/>
          <c:showSerName val="0"/>
          <c:showPercent val="0"/>
          <c:showBubbleSize val="0"/>
        </c:dLbls>
        <c:marker val="1"/>
        <c:smooth val="0"/>
        <c:axId val="111605248"/>
        <c:axId val="111606784"/>
      </c:lineChart>
      <c:catAx>
        <c:axId val="111605248"/>
        <c:scaling>
          <c:orientation val="minMax"/>
        </c:scaling>
        <c:delete val="0"/>
        <c:axPos val="b"/>
        <c:majorTickMark val="out"/>
        <c:minorTickMark val="none"/>
        <c:tickLblPos val="nextTo"/>
        <c:txPr>
          <a:bodyPr/>
          <a:lstStyle/>
          <a:p>
            <a:pPr>
              <a:defRPr lang="ru-RU" sz="1100" b="1">
                <a:latin typeface="Times New Roman" pitchFamily="18" charset="0"/>
                <a:cs typeface="Times New Roman" pitchFamily="18" charset="0"/>
              </a:defRPr>
            </a:pPr>
            <a:endParaRPr lang="ru-RU"/>
          </a:p>
        </c:txPr>
        <c:crossAx val="111606784"/>
        <c:crosses val="autoZero"/>
        <c:auto val="1"/>
        <c:lblAlgn val="ctr"/>
        <c:lblOffset val="100"/>
        <c:noMultiLvlLbl val="0"/>
      </c:catAx>
      <c:valAx>
        <c:axId val="111606784"/>
        <c:scaling>
          <c:orientation val="minMax"/>
        </c:scaling>
        <c:delete val="1"/>
        <c:axPos val="l"/>
        <c:numFmt formatCode="General" sourceLinked="1"/>
        <c:majorTickMark val="out"/>
        <c:minorTickMark val="none"/>
        <c:tickLblPos val="nextTo"/>
        <c:crossAx val="111605248"/>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manualLayout>
          <c:layoutTarget val="inner"/>
          <c:xMode val="edge"/>
          <c:yMode val="edge"/>
          <c:x val="3.1288782019768202E-2"/>
          <c:y val="1.5458904267996541E-2"/>
          <c:w val="0.96871121798023185"/>
          <c:h val="0.85052761118543063"/>
        </c:manualLayout>
      </c:layout>
      <c:lineChart>
        <c:grouping val="standard"/>
        <c:varyColors val="0"/>
        <c:ser>
          <c:idx val="1"/>
          <c:order val="1"/>
          <c:tx>
            <c:strRef>
              <c:f>Лист1!$B$1</c:f>
            </c:strRef>
          </c:tx>
          <c:cat>
            <c:multiLvlStrRef>
              <c:f>Лист1!$A$2:$A$6</c:f>
            </c:multiLvlStrRef>
          </c:cat>
          <c:val>
            <c:numRef>
              <c:f>Лист1!$B$2:$B$6</c:f>
            </c:numRef>
          </c:val>
          <c:smooth val="0"/>
        </c:ser>
        <c:ser>
          <c:idx val="2"/>
          <c:order val="2"/>
          <c:tx>
            <c:strRef>
              <c:f>Лист1!$B$1</c:f>
            </c:strRef>
          </c:tx>
          <c:cat>
            <c:multiLvlStrRef>
              <c:f>Лист1!$A$2:$A$9</c:f>
            </c:multiLvlStrRef>
          </c:cat>
          <c:val>
            <c:numRef>
              <c:f>Лист1!$B$2:$B$9</c:f>
            </c:numRef>
          </c:val>
          <c:smooth val="0"/>
        </c:ser>
        <c:ser>
          <c:idx val="3"/>
          <c:order val="3"/>
          <c:tx>
            <c:strRef>
              <c:f>Лист1!$C$1</c:f>
            </c:strRef>
          </c:tx>
          <c:cat>
            <c:multiLvlStrRef>
              <c:f>Лист1!$A$2:$A$9</c:f>
            </c:multiLvlStrRef>
          </c:cat>
          <c:val>
            <c:numRef>
              <c:f>Лист1!$C$2:$C$9</c:f>
            </c:numRef>
          </c:val>
          <c:smooth val="0"/>
        </c:ser>
        <c:ser>
          <c:idx val="4"/>
          <c:order val="4"/>
          <c:tx>
            <c:strRef>
              <c:f>Лист1!$D$1</c:f>
            </c:strRef>
          </c:tx>
          <c:cat>
            <c:multiLvlStrRef>
              <c:f>Лист1!$A$2:$A$9</c:f>
            </c:multiLvlStrRef>
          </c:cat>
          <c:val>
            <c:numRef>
              <c:f>Лист1!$D$2:$D$9</c:f>
            </c:numRef>
          </c:val>
          <c:smooth val="0"/>
        </c:ser>
        <c:ser>
          <c:idx val="0"/>
          <c:order val="0"/>
          <c:tx>
            <c:strRef>
              <c:f>Лист1!$B$1</c:f>
              <c:strCache>
                <c:ptCount val="1"/>
                <c:pt idx="0">
                  <c:v>Столбец1</c:v>
                </c:pt>
              </c:strCache>
            </c:strRef>
          </c:tx>
          <c:marker>
            <c:spPr>
              <a:solidFill>
                <a:schemeClr val="tx1"/>
              </a:solidFill>
            </c:spPr>
          </c:marker>
          <c:dLbls>
            <c:dLbl>
              <c:idx val="0"/>
              <c:layout>
                <c:manualLayout>
                  <c:x val="-4.9777719744342044E-2"/>
                  <c:y val="-5.6682851855413524E-2"/>
                </c:manualLayout>
              </c:layout>
              <c:tx>
                <c:rich>
                  <a:bodyPr/>
                  <a:lstStyle/>
                  <a:p>
                    <a:r>
                      <a:rPr lang="uk-UA" sz="1100" b="1" dirty="0" smtClean="0">
                        <a:latin typeface="Times New Roman" pitchFamily="18" charset="0"/>
                        <a:cs typeface="Times New Roman" pitchFamily="18" charset="0"/>
                      </a:rPr>
                      <a:t>683</a:t>
                    </a:r>
                    <a:endParaRPr lang="en-US" sz="1100" b="1" dirty="0">
                      <a:latin typeface="Times New Roman" pitchFamily="18" charset="0"/>
                      <a:cs typeface="Times New Roman" pitchFamily="18" charset="0"/>
                    </a:endParaRPr>
                  </a:p>
                </c:rich>
              </c:tx>
              <c:showLegendKey val="0"/>
              <c:showVal val="1"/>
              <c:showCatName val="0"/>
              <c:showSerName val="0"/>
              <c:showPercent val="0"/>
              <c:showBubbleSize val="0"/>
            </c:dLbl>
            <c:dLbl>
              <c:idx val="1"/>
              <c:layout>
                <c:manualLayout>
                  <c:x val="-3.5555434113372898E-2"/>
                  <c:y val="-5.6682648982653967E-2"/>
                </c:manualLayout>
              </c:layout>
              <c:showLegendKey val="0"/>
              <c:showVal val="1"/>
              <c:showCatName val="0"/>
              <c:showSerName val="0"/>
              <c:showPercent val="0"/>
              <c:showBubbleSize val="0"/>
            </c:dLbl>
            <c:dLbl>
              <c:idx val="2"/>
              <c:layout>
                <c:manualLayout>
                  <c:x val="-3.1288782019768202E-2"/>
                  <c:y val="-4.6376712803989632E-2"/>
                </c:manualLayout>
              </c:layout>
              <c:tx>
                <c:rich>
                  <a:bodyPr/>
                  <a:lstStyle/>
                  <a:p>
                    <a:r>
                      <a:rPr lang="uk-UA" sz="1100" b="1" dirty="0" smtClean="0">
                        <a:latin typeface="Times New Roman" pitchFamily="18" charset="0"/>
                        <a:cs typeface="Times New Roman" pitchFamily="18" charset="0"/>
                      </a:rPr>
                      <a:t>662</a:t>
                    </a:r>
                    <a:endParaRPr lang="en-US" sz="1100" b="1" dirty="0">
                      <a:latin typeface="Times New Roman" pitchFamily="18" charset="0"/>
                      <a:cs typeface="Times New Roman" pitchFamily="18" charset="0"/>
                    </a:endParaRPr>
                  </a:p>
                </c:rich>
              </c:tx>
              <c:showLegendKey val="0"/>
              <c:showVal val="1"/>
              <c:showCatName val="0"/>
              <c:showSerName val="0"/>
              <c:showPercent val="0"/>
              <c:showBubbleSize val="0"/>
            </c:dLbl>
            <c:dLbl>
              <c:idx val="3"/>
              <c:layout>
                <c:manualLayout>
                  <c:x val="-3.2710999384303212E-2"/>
                  <c:y val="-5.4106164937988588E-2"/>
                </c:manualLayout>
              </c:layout>
              <c:showLegendKey val="0"/>
              <c:showVal val="1"/>
              <c:showCatName val="0"/>
              <c:showSerName val="0"/>
              <c:showPercent val="0"/>
              <c:showBubbleSize val="0"/>
            </c:dLbl>
            <c:dLbl>
              <c:idx val="4"/>
              <c:layout>
                <c:manualLayout>
                  <c:x val="-4.4088738300582402E-2"/>
                  <c:y val="-5.9259335900079486E-2"/>
                </c:manualLayout>
              </c:layout>
              <c:showLegendKey val="0"/>
              <c:showVal val="1"/>
              <c:showCatName val="0"/>
              <c:showSerName val="0"/>
              <c:showPercent val="0"/>
              <c:showBubbleSize val="0"/>
            </c:dLbl>
            <c:dLbl>
              <c:idx val="5"/>
              <c:layout>
                <c:manualLayout>
                  <c:x val="-2.9866564655233178E-2"/>
                  <c:y val="-4.8953399721415117E-2"/>
                </c:manualLayout>
              </c:layout>
              <c:showLegendKey val="0"/>
              <c:showVal val="1"/>
              <c:showCatName val="0"/>
              <c:showSerName val="0"/>
              <c:showPercent val="0"/>
              <c:showBubbleSize val="0"/>
            </c:dLbl>
            <c:dLbl>
              <c:idx val="6"/>
              <c:layout>
                <c:manualLayout>
                  <c:x val="-3.2710999384303212E-2"/>
                  <c:y val="-4.8953196848655733E-2"/>
                </c:manualLayout>
              </c:layout>
              <c:showLegendKey val="0"/>
              <c:showVal val="1"/>
              <c:showCatName val="0"/>
              <c:showSerName val="0"/>
              <c:showPercent val="0"/>
              <c:showBubbleSize val="0"/>
            </c:dLbl>
            <c:dLbl>
              <c:idx val="7"/>
              <c:layout>
                <c:manualLayout>
                  <c:x val="-3.5555434113372898E-2"/>
                  <c:y val="-6.4412101116652423E-2"/>
                </c:manualLayout>
              </c:layout>
              <c:spPr/>
              <c:txPr>
                <a:bodyPr/>
                <a:lstStyle/>
                <a:p>
                  <a:pPr>
                    <a:defRPr lang="ru-RU" sz="1100" b="1">
                      <a:solidFill>
                        <a:srgbClr val="FF0000"/>
                      </a:solidFill>
                      <a:latin typeface="Times New Roman" pitchFamily="18" charset="0"/>
                      <a:cs typeface="Times New Roman" pitchFamily="18" charset="0"/>
                    </a:defRPr>
                  </a:pPr>
                  <a:endParaRPr lang="ru-RU"/>
                </a:p>
              </c:txPr>
              <c:showLegendKey val="0"/>
              <c:showVal val="1"/>
              <c:showCatName val="0"/>
              <c:showSerName val="0"/>
              <c:showPercent val="0"/>
              <c:showBubbleSize val="0"/>
            </c:dLbl>
            <c:dLbl>
              <c:idx val="8"/>
              <c:layout>
                <c:manualLayout>
                  <c:x val="-6.1155346675001346E-2"/>
                  <c:y val="-4.6376712803989632E-2"/>
                </c:manualLayout>
              </c:layout>
              <c:spPr/>
              <c:txPr>
                <a:bodyPr/>
                <a:lstStyle/>
                <a:p>
                  <a:pPr>
                    <a:defRPr lang="ru-RU" sz="1100" b="1">
                      <a:solidFill>
                        <a:srgbClr val="FF0000"/>
                      </a:solidFill>
                      <a:latin typeface="Times New Roman" pitchFamily="18" charset="0"/>
                      <a:cs typeface="Times New Roman" pitchFamily="18" charset="0"/>
                    </a:defRPr>
                  </a:pPr>
                  <a:endParaRPr lang="ru-RU"/>
                </a:p>
              </c:txPr>
              <c:showLegendKey val="0"/>
              <c:showVal val="1"/>
              <c:showCatName val="0"/>
              <c:showSerName val="0"/>
              <c:showPercent val="0"/>
              <c:showBubbleSize val="0"/>
            </c:dLbl>
            <c:dLbl>
              <c:idx val="9"/>
              <c:layout>
                <c:manualLayout>
                  <c:x val="-3.2710999384302962E-2"/>
                  <c:y val="-5.6682648982653967E-2"/>
                </c:manualLayout>
              </c:layout>
              <c:spPr/>
              <c:txPr>
                <a:bodyPr/>
                <a:lstStyle/>
                <a:p>
                  <a:pPr>
                    <a:defRPr lang="ru-RU" sz="1100" b="1">
                      <a:solidFill>
                        <a:srgbClr val="FF0000"/>
                      </a:solidFill>
                      <a:latin typeface="Times New Roman" pitchFamily="18" charset="0"/>
                      <a:cs typeface="Times New Roman" pitchFamily="18" charset="0"/>
                    </a:defRPr>
                  </a:pPr>
                  <a:endParaRPr lang="ru-RU"/>
                </a:p>
              </c:txPr>
              <c:showLegendKey val="0"/>
              <c:showVal val="1"/>
              <c:showCatName val="0"/>
              <c:showSerName val="0"/>
              <c:showPercent val="0"/>
              <c:showBubbleSize val="0"/>
            </c:dLbl>
            <c:dLbl>
              <c:idx val="10"/>
              <c:layout>
                <c:manualLayout>
                  <c:x val="-1.1377738916279431E-2"/>
                  <c:y val="-5.4106164937988588E-2"/>
                </c:manualLayout>
              </c:layout>
              <c:spPr/>
              <c:txPr>
                <a:bodyPr/>
                <a:lstStyle/>
                <a:p>
                  <a:pPr>
                    <a:defRPr lang="ru-RU" sz="1100" b="1">
                      <a:solidFill>
                        <a:srgbClr val="FF0000"/>
                      </a:solidFill>
                      <a:latin typeface="Times New Roman" pitchFamily="18" charset="0"/>
                      <a:cs typeface="Times New Roman" pitchFamily="18" charset="0"/>
                    </a:defRPr>
                  </a:pPr>
                  <a:endParaRPr lang="ru-RU"/>
                </a:p>
              </c:txPr>
              <c:showLegendKey val="0"/>
              <c:showVal val="1"/>
              <c:showCatName val="0"/>
              <c:showSerName val="0"/>
              <c:showPercent val="0"/>
              <c:showBubbleSize val="0"/>
            </c:dLbl>
            <c:dLbl>
              <c:idx val="11"/>
              <c:layout>
                <c:manualLayout>
                  <c:x val="-2.1333260468024317E-2"/>
                  <c:y val="-5.9259133027320082E-2"/>
                </c:manualLayout>
              </c:layout>
              <c:spPr/>
              <c:txPr>
                <a:bodyPr/>
                <a:lstStyle/>
                <a:p>
                  <a:pPr>
                    <a:defRPr lang="ru-RU" sz="1100" b="1">
                      <a:solidFill>
                        <a:srgbClr val="FF0000"/>
                      </a:solidFill>
                      <a:latin typeface="Times New Roman" pitchFamily="18" charset="0"/>
                      <a:cs typeface="Times New Roman" pitchFamily="18" charset="0"/>
                    </a:defRPr>
                  </a:pPr>
                  <a:endParaRPr lang="ru-RU"/>
                </a:p>
              </c:txPr>
              <c:showLegendKey val="0"/>
              <c:showVal val="1"/>
              <c:showCatName val="0"/>
              <c:showSerName val="0"/>
              <c:showPercent val="0"/>
              <c:showBubbleSize val="0"/>
            </c:dLbl>
            <c:dLbl>
              <c:idx val="12"/>
              <c:layout>
                <c:manualLayout>
                  <c:x val="-2.417769519709359E-2"/>
                  <c:y val="-4.8953196848655733E-2"/>
                </c:manualLayout>
              </c:layout>
              <c:spPr/>
              <c:txPr>
                <a:bodyPr/>
                <a:lstStyle/>
                <a:p>
                  <a:pPr>
                    <a:defRPr lang="ru-RU" sz="1100" b="1">
                      <a:solidFill>
                        <a:srgbClr val="FF0000"/>
                      </a:solidFill>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lang="ru-RU"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Лист1!$A$2:$A$14</c:f>
              <c:strCache>
                <c:ptCount val="13"/>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strCache>
            </c:strRef>
          </c:cat>
          <c:val>
            <c:numRef>
              <c:f>Лист1!$B$2:$B$14</c:f>
              <c:numCache>
                <c:formatCode>General</c:formatCode>
                <c:ptCount val="13"/>
                <c:pt idx="0">
                  <c:v>683</c:v>
                </c:pt>
                <c:pt idx="1">
                  <c:v>759</c:v>
                </c:pt>
                <c:pt idx="2">
                  <c:v>662</c:v>
                </c:pt>
                <c:pt idx="3">
                  <c:v>595</c:v>
                </c:pt>
                <c:pt idx="4">
                  <c:v>664</c:v>
                </c:pt>
                <c:pt idx="5">
                  <c:v>644</c:v>
                </c:pt>
                <c:pt idx="6">
                  <c:v>647</c:v>
                </c:pt>
                <c:pt idx="7">
                  <c:v>507</c:v>
                </c:pt>
                <c:pt idx="8">
                  <c:v>708</c:v>
                </c:pt>
                <c:pt idx="9">
                  <c:v>820</c:v>
                </c:pt>
                <c:pt idx="10">
                  <c:v>472</c:v>
                </c:pt>
                <c:pt idx="11">
                  <c:v>357</c:v>
                </c:pt>
                <c:pt idx="12">
                  <c:v>293</c:v>
                </c:pt>
              </c:numCache>
            </c:numRef>
          </c:val>
          <c:smooth val="0"/>
        </c:ser>
        <c:dLbls>
          <c:showLegendKey val="0"/>
          <c:showVal val="0"/>
          <c:showCatName val="0"/>
          <c:showSerName val="0"/>
          <c:showPercent val="0"/>
          <c:showBubbleSize val="0"/>
        </c:dLbls>
        <c:marker val="1"/>
        <c:smooth val="0"/>
        <c:axId val="111747456"/>
        <c:axId val="111748992"/>
      </c:lineChart>
      <c:catAx>
        <c:axId val="111747456"/>
        <c:scaling>
          <c:orientation val="minMax"/>
        </c:scaling>
        <c:delete val="0"/>
        <c:axPos val="b"/>
        <c:majorTickMark val="out"/>
        <c:minorTickMark val="none"/>
        <c:tickLblPos val="nextTo"/>
        <c:txPr>
          <a:bodyPr/>
          <a:lstStyle/>
          <a:p>
            <a:pPr>
              <a:defRPr lang="ru-RU" sz="1100" b="1">
                <a:latin typeface="Times New Roman" pitchFamily="18" charset="0"/>
                <a:cs typeface="Times New Roman" pitchFamily="18" charset="0"/>
              </a:defRPr>
            </a:pPr>
            <a:endParaRPr lang="ru-RU"/>
          </a:p>
        </c:txPr>
        <c:crossAx val="111748992"/>
        <c:crosses val="autoZero"/>
        <c:auto val="1"/>
        <c:lblAlgn val="ctr"/>
        <c:lblOffset val="100"/>
        <c:noMultiLvlLbl val="0"/>
      </c:catAx>
      <c:valAx>
        <c:axId val="111748992"/>
        <c:scaling>
          <c:orientation val="minMax"/>
        </c:scaling>
        <c:delete val="1"/>
        <c:axPos val="l"/>
        <c:numFmt formatCode="General" sourceLinked="1"/>
        <c:majorTickMark val="out"/>
        <c:minorTickMark val="none"/>
        <c:tickLblPos val="nextTo"/>
        <c:crossAx val="111747456"/>
        <c:crosses val="autoZero"/>
        <c:crossBetween val="between"/>
      </c:valAx>
    </c:plotArea>
    <c:plotVisOnly val="1"/>
    <c:dispBlanksAs val="gap"/>
    <c:showDLblsOverMax val="0"/>
  </c:chart>
  <c:txPr>
    <a:bodyPr/>
    <a:lstStyle/>
    <a:p>
      <a:pPr>
        <a:defRPr sz="1800"/>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4154233723670118"/>
          <c:y val="4.6292952831991932E-2"/>
          <c:w val="0.8584576627633016"/>
          <c:h val="0.56038940757094813"/>
        </c:manualLayout>
      </c:layout>
      <c:bar3DChart>
        <c:barDir val="col"/>
        <c:grouping val="clustered"/>
        <c:varyColors val="0"/>
        <c:ser>
          <c:idx val="0"/>
          <c:order val="0"/>
          <c:tx>
            <c:strRef>
              <c:f>Лист1!$B$1</c:f>
              <c:strCache>
                <c:ptCount val="1"/>
                <c:pt idx="0">
                  <c:v>Ряд 1</c:v>
                </c:pt>
              </c:strCache>
            </c:strRef>
          </c:tx>
          <c:spPr>
            <a:solidFill>
              <a:srgbClr val="FF0000"/>
            </a:solidFill>
            <a:ln w="76200"/>
          </c:spPr>
          <c:invertIfNegative val="0"/>
          <c:dPt>
            <c:idx val="2"/>
            <c:invertIfNegative val="0"/>
            <c:bubble3D val="0"/>
            <c:spPr>
              <a:solidFill>
                <a:schemeClr val="accent4">
                  <a:lumMod val="50000"/>
                </a:schemeClr>
              </a:solidFill>
              <a:ln w="76200"/>
            </c:spPr>
          </c:dPt>
          <c:dLbls>
            <c:dLbl>
              <c:idx val="0"/>
              <c:layout>
                <c:manualLayout>
                  <c:x val="-4.6296744368085141E-3"/>
                  <c:y val="4.750850179982097E-3"/>
                </c:manualLayout>
              </c:layout>
              <c:tx>
                <c:rich>
                  <a:bodyPr/>
                  <a:lstStyle/>
                  <a:p>
                    <a:r>
                      <a:rPr lang="uk-UA" sz="1200" b="1" dirty="0" smtClean="0">
                        <a:latin typeface="Times New Roman" pitchFamily="18" charset="0"/>
                        <a:cs typeface="Times New Roman" pitchFamily="18" charset="0"/>
                      </a:rPr>
                      <a:t>726,0</a:t>
                    </a:r>
                    <a:endParaRPr lang="en-US" sz="1200" b="1" dirty="0">
                      <a:latin typeface="Times New Roman" pitchFamily="18" charset="0"/>
                      <a:cs typeface="Times New Roman" pitchFamily="18" charset="0"/>
                    </a:endParaRPr>
                  </a:p>
                </c:rich>
              </c:tx>
              <c:showLegendKey val="0"/>
              <c:showVal val="1"/>
              <c:showCatName val="0"/>
              <c:showSerName val="0"/>
              <c:showPercent val="0"/>
              <c:showBubbleSize val="0"/>
            </c:dLbl>
            <c:dLbl>
              <c:idx val="1"/>
              <c:layout>
                <c:manualLayout>
                  <c:x val="6.1727812204116893E-3"/>
                  <c:y val="2.0430654399338968E-3"/>
                </c:manualLayout>
              </c:layout>
              <c:tx>
                <c:rich>
                  <a:bodyPr/>
                  <a:lstStyle/>
                  <a:p>
                    <a:r>
                      <a:rPr lang="uk-UA" sz="1200" b="1" dirty="0" smtClean="0">
                        <a:latin typeface="Times New Roman" pitchFamily="18" charset="0"/>
                        <a:cs typeface="Times New Roman" pitchFamily="18" charset="0"/>
                      </a:rPr>
                      <a:t>376,4</a:t>
                    </a:r>
                    <a:endParaRPr lang="en-US" sz="1200" b="1" dirty="0">
                      <a:latin typeface="Times New Roman" pitchFamily="18" charset="0"/>
                      <a:cs typeface="Times New Roman" pitchFamily="18" charset="0"/>
                    </a:endParaRPr>
                  </a:p>
                </c:rich>
              </c:tx>
              <c:showLegendKey val="0"/>
              <c:showVal val="1"/>
              <c:showCatName val="0"/>
              <c:showSerName val="0"/>
              <c:showPercent val="0"/>
              <c:showBubbleSize val="0"/>
            </c:dLbl>
            <c:dLbl>
              <c:idx val="2"/>
              <c:layout>
                <c:manualLayout>
                  <c:x val="2.9094066250434643E-3"/>
                  <c:y val="1.4716937033658968E-3"/>
                </c:manualLayout>
              </c:layout>
              <c:tx>
                <c:rich>
                  <a:bodyPr/>
                  <a:lstStyle/>
                  <a:p>
                    <a:r>
                      <a:rPr lang="uk-UA" sz="1200" b="1" dirty="0" smtClean="0"/>
                      <a:t>473,4</a:t>
                    </a:r>
                    <a:endParaRPr lang="en-US" sz="1200" b="1" dirty="0"/>
                  </a:p>
                </c:rich>
              </c:tx>
              <c:showLegendKey val="0"/>
              <c:showVal val="1"/>
              <c:showCatName val="0"/>
              <c:showSerName val="0"/>
              <c:showPercent val="0"/>
              <c:showBubbleSize val="0"/>
            </c:dLbl>
            <c:dLbl>
              <c:idx val="3"/>
              <c:layout>
                <c:manualLayout>
                  <c:x val="2.9979281247912372E-3"/>
                  <c:y val="4.8437274787247134E-3"/>
                </c:manualLayout>
              </c:layout>
              <c:tx>
                <c:rich>
                  <a:bodyPr/>
                  <a:lstStyle/>
                  <a:p>
                    <a:r>
                      <a:rPr lang="uk-UA" sz="1200" b="1" dirty="0" smtClean="0"/>
                      <a:t>284,8</a:t>
                    </a:r>
                    <a:endParaRPr lang="en-US" sz="1200" b="1" dirty="0"/>
                  </a:p>
                </c:rich>
              </c:tx>
              <c:showLegendKey val="0"/>
              <c:showVal val="1"/>
              <c:showCatName val="0"/>
              <c:showSerName val="0"/>
              <c:showPercent val="0"/>
              <c:showBubbleSize val="0"/>
            </c:dLbl>
            <c:dLbl>
              <c:idx val="4"/>
              <c:layout>
                <c:manualLayout>
                  <c:x val="0"/>
                  <c:y val="-2.7503437047884612E-3"/>
                </c:manualLayout>
              </c:layout>
              <c:tx>
                <c:rich>
                  <a:bodyPr/>
                  <a:lstStyle/>
                  <a:p>
                    <a:r>
                      <a:rPr lang="uk-UA" sz="1200" b="1" dirty="0" smtClean="0"/>
                      <a:t>414,0</a:t>
                    </a:r>
                    <a:endParaRPr lang="en-US" sz="1200" b="1" dirty="0"/>
                  </a:p>
                </c:rich>
              </c:tx>
              <c:showLegendKey val="0"/>
              <c:showVal val="1"/>
              <c:showCatName val="0"/>
              <c:showSerName val="0"/>
              <c:showPercent val="0"/>
              <c:showBubbleSize val="0"/>
            </c:dLbl>
            <c:dLbl>
              <c:idx val="5"/>
              <c:layout>
                <c:manualLayout>
                  <c:x val="-8.9937843743738248E-3"/>
                  <c:y val="4.179243311012412E-3"/>
                </c:manualLayout>
              </c:layout>
              <c:showLegendKey val="0"/>
              <c:showVal val="1"/>
              <c:showCatName val="0"/>
              <c:showSerName val="0"/>
              <c:showPercent val="0"/>
              <c:showBubbleSize val="0"/>
            </c:dLbl>
            <c:dLbl>
              <c:idx val="6"/>
              <c:layout>
                <c:manualLayout>
                  <c:x val="5.9958562495824735E-3"/>
                  <c:y val="3.7227337527626102E-2"/>
                </c:manualLayout>
              </c:layout>
              <c:showLegendKey val="0"/>
              <c:showVal val="1"/>
              <c:showCatName val="0"/>
              <c:showSerName val="0"/>
              <c:showPercent val="0"/>
              <c:showBubbleSize val="0"/>
            </c:dLbl>
            <c:dLbl>
              <c:idx val="7"/>
              <c:layout>
                <c:manualLayout>
                  <c:x val="-4.4968921871869124E-3"/>
                  <c:y val="-1.7574265981302743E-2"/>
                </c:manualLayout>
              </c:layout>
              <c:showLegendKey val="0"/>
              <c:showVal val="1"/>
              <c:showCatName val="0"/>
              <c:showSerName val="0"/>
              <c:showPercent val="0"/>
              <c:showBubbleSize val="0"/>
            </c:dLbl>
            <c:dLbl>
              <c:idx val="8"/>
              <c:layout>
                <c:manualLayout>
                  <c:x val="1.4989640623956184E-3"/>
                  <c:y val="1.7141152097041481E-4"/>
                </c:manualLayout>
              </c:layout>
              <c:showLegendKey val="0"/>
              <c:showVal val="1"/>
              <c:showCatName val="0"/>
              <c:showSerName val="0"/>
              <c:showPercent val="0"/>
              <c:showBubbleSize val="0"/>
            </c:dLbl>
            <c:dLbl>
              <c:idx val="9"/>
              <c:layout>
                <c:manualLayout>
                  <c:x val="1.4989640623956184E-3"/>
                  <c:y val="7.9227862813410922E-3"/>
                </c:manualLayout>
              </c:layout>
              <c:showLegendKey val="0"/>
              <c:showVal val="1"/>
              <c:showCatName val="0"/>
              <c:showSerName val="0"/>
              <c:showPercent val="0"/>
              <c:showBubbleSize val="0"/>
            </c:dLbl>
            <c:dLbl>
              <c:idx val="10"/>
              <c:layout>
                <c:manualLayout>
                  <c:x val="1.4989640623956293E-2"/>
                  <c:y val="2.033166365814755E-2"/>
                </c:manualLayout>
              </c:layout>
              <c:showLegendKey val="0"/>
              <c:showVal val="1"/>
              <c:showCatName val="0"/>
              <c:showSerName val="0"/>
              <c:showPercent val="0"/>
              <c:showBubbleSize val="0"/>
            </c:dLbl>
            <c:dLbl>
              <c:idx val="11"/>
              <c:layout>
                <c:manualLayout>
                  <c:x val="1.4989640623956184E-2"/>
                  <c:y val="-4.3005716303822095E-3"/>
                </c:manualLayout>
              </c:layout>
              <c:showLegendKey val="0"/>
              <c:showVal val="1"/>
              <c:showCatName val="0"/>
              <c:showSerName val="0"/>
              <c:showPercent val="0"/>
              <c:showBubbleSize val="0"/>
            </c:dLbl>
            <c:txPr>
              <a:bodyPr/>
              <a:lstStyle/>
              <a:p>
                <a:pPr>
                  <a:defRPr lang="ru-RU"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Лист1!$A$2:$A$14</c:f>
              <c:strCache>
                <c:ptCount val="12"/>
                <c:pt idx="0">
                  <c:v>Олександрівська</c:v>
                </c:pt>
                <c:pt idx="1">
                  <c:v>Святогірська</c:v>
                </c:pt>
                <c:pt idx="2">
                  <c:v>Костянтинівська</c:v>
                </c:pt>
                <c:pt idx="3">
                  <c:v>Новодонецька</c:v>
                </c:pt>
                <c:pt idx="4">
                  <c:v>Краматорська</c:v>
                </c:pt>
                <c:pt idx="5">
                  <c:v>Дружківська</c:v>
                </c:pt>
                <c:pt idx="6">
                  <c:v>Іллінівська</c:v>
                </c:pt>
                <c:pt idx="7">
                  <c:v>Слов'янська</c:v>
                </c:pt>
                <c:pt idx="8">
                  <c:v>Лиманська</c:v>
                </c:pt>
                <c:pt idx="9">
                  <c:v>Черкаська</c:v>
                </c:pt>
                <c:pt idx="10">
                  <c:v>Миколаївська</c:v>
                </c:pt>
                <c:pt idx="11">
                  <c:v>Андріївська</c:v>
                </c:pt>
              </c:strCache>
            </c:strRef>
          </c:cat>
          <c:val>
            <c:numRef>
              <c:f>Лист1!$B$2:$B$14</c:f>
              <c:numCache>
                <c:formatCode>0.0</c:formatCode>
                <c:ptCount val="13"/>
                <c:pt idx="0">
                  <c:v>726</c:v>
                </c:pt>
                <c:pt idx="1">
                  <c:v>376.4</c:v>
                </c:pt>
                <c:pt idx="2">
                  <c:v>473.4</c:v>
                </c:pt>
                <c:pt idx="3">
                  <c:v>284.8</c:v>
                </c:pt>
                <c:pt idx="4">
                  <c:v>414</c:v>
                </c:pt>
                <c:pt idx="5">
                  <c:v>284.7</c:v>
                </c:pt>
                <c:pt idx="6">
                  <c:v>525.6</c:v>
                </c:pt>
                <c:pt idx="7">
                  <c:v>119.6</c:v>
                </c:pt>
                <c:pt idx="8">
                  <c:v>1204.4000000000001</c:v>
                </c:pt>
                <c:pt idx="9">
                  <c:v>296.3</c:v>
                </c:pt>
                <c:pt idx="10">
                  <c:v>335.6</c:v>
                </c:pt>
                <c:pt idx="11">
                  <c:v>161.6</c:v>
                </c:pt>
              </c:numCache>
            </c:numRef>
          </c:val>
        </c:ser>
        <c:dLbls>
          <c:showLegendKey val="0"/>
          <c:showVal val="0"/>
          <c:showCatName val="0"/>
          <c:showSerName val="0"/>
          <c:showPercent val="0"/>
          <c:showBubbleSize val="0"/>
        </c:dLbls>
        <c:gapWidth val="150"/>
        <c:shape val="pyramid"/>
        <c:axId val="66059648"/>
        <c:axId val="66389120"/>
        <c:axId val="0"/>
      </c:bar3DChart>
      <c:catAx>
        <c:axId val="66059648"/>
        <c:scaling>
          <c:orientation val="minMax"/>
        </c:scaling>
        <c:delete val="0"/>
        <c:axPos val="b"/>
        <c:majorTickMark val="out"/>
        <c:minorTickMark val="none"/>
        <c:tickLblPos val="nextTo"/>
        <c:txPr>
          <a:bodyPr/>
          <a:lstStyle/>
          <a:p>
            <a:pPr>
              <a:defRPr lang="ru-RU" sz="1200" b="1">
                <a:latin typeface="Times New Roman" pitchFamily="18" charset="0"/>
                <a:cs typeface="Times New Roman" pitchFamily="18" charset="0"/>
              </a:defRPr>
            </a:pPr>
            <a:endParaRPr lang="ru-RU"/>
          </a:p>
        </c:txPr>
        <c:crossAx val="66389120"/>
        <c:crosses val="autoZero"/>
        <c:auto val="1"/>
        <c:lblAlgn val="ctr"/>
        <c:lblOffset val="100"/>
        <c:noMultiLvlLbl val="0"/>
      </c:catAx>
      <c:valAx>
        <c:axId val="66389120"/>
        <c:scaling>
          <c:orientation val="minMax"/>
        </c:scaling>
        <c:delete val="1"/>
        <c:axPos val="l"/>
        <c:numFmt formatCode="0.0" sourceLinked="1"/>
        <c:majorTickMark val="out"/>
        <c:minorTickMark val="none"/>
        <c:tickLblPos val="nextTo"/>
        <c:crossAx val="66059648"/>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0"/>
      <c:perspective val="30"/>
    </c:view3D>
    <c:floor>
      <c:thickness val="0"/>
      <c:spPr>
        <a:solidFill>
          <a:srgbClr val="FF3399"/>
        </a:solidFill>
      </c:spPr>
    </c:floor>
    <c:sideWall>
      <c:thickness val="0"/>
      <c:spPr>
        <a:noFill/>
        <a:ln w="25400">
          <a:noFill/>
        </a:ln>
      </c:spPr>
    </c:sideWall>
    <c:backWall>
      <c:thickness val="0"/>
      <c:spPr>
        <a:noFill/>
        <a:ln w="25400">
          <a:noFill/>
        </a:ln>
      </c:spPr>
    </c:backWall>
    <c:plotArea>
      <c:layout>
        <c:manualLayout>
          <c:layoutTarget val="inner"/>
          <c:xMode val="edge"/>
          <c:yMode val="edge"/>
          <c:x val="2.0665901262916196E-2"/>
          <c:y val="0.15876436781609349"/>
          <c:w val="0.9598168411717185"/>
          <c:h val="0.65086206896551724"/>
        </c:manualLayout>
      </c:layout>
      <c:bar3DChart>
        <c:barDir val="col"/>
        <c:grouping val="standard"/>
        <c:varyColors val="0"/>
        <c:ser>
          <c:idx val="0"/>
          <c:order val="0"/>
          <c:tx>
            <c:strRef>
              <c:f>Лист13!$B$3</c:f>
              <c:strCache>
                <c:ptCount val="1"/>
              </c:strCache>
            </c:strRef>
          </c:tx>
          <c:spPr>
            <a:solidFill>
              <a:schemeClr val="bg1">
                <a:lumMod val="75000"/>
              </a:schemeClr>
            </a:solidFill>
            <a:ln w="12700">
              <a:solidFill>
                <a:srgbClr val="000000"/>
              </a:solidFill>
              <a:prstDash val="solid"/>
            </a:ln>
          </c:spPr>
          <c:invertIfNegative val="0"/>
          <c:dLbls>
            <c:dLbl>
              <c:idx val="0"/>
              <c:layout>
                <c:manualLayout>
                  <c:x val="9.5675468809797819E-3"/>
                  <c:y val="-3.5919540229885092E-3"/>
                </c:manualLayout>
              </c:layout>
              <c:showLegendKey val="0"/>
              <c:showVal val="1"/>
              <c:showCatName val="0"/>
              <c:showSerName val="0"/>
              <c:showPercent val="0"/>
              <c:showBubbleSize val="0"/>
            </c:dLbl>
            <c:dLbl>
              <c:idx val="1"/>
              <c:layout>
                <c:manualLayout>
                  <c:x val="7.6540375047838083E-3"/>
                  <c:y val="-7.1839080459770114E-3"/>
                </c:manualLayout>
              </c:layout>
              <c:showLegendKey val="0"/>
              <c:showVal val="1"/>
              <c:showCatName val="0"/>
              <c:showSerName val="0"/>
              <c:showPercent val="0"/>
              <c:showBubbleSize val="0"/>
            </c:dLbl>
            <c:dLbl>
              <c:idx val="2"/>
              <c:layout>
                <c:manualLayout>
                  <c:x val="9.5675468809797819E-3"/>
                  <c:y val="-3.5919540229885092E-3"/>
                </c:manualLayout>
              </c:layout>
              <c:showLegendKey val="0"/>
              <c:showVal val="1"/>
              <c:showCatName val="0"/>
              <c:showSerName val="0"/>
              <c:showPercent val="0"/>
              <c:showBubbleSize val="0"/>
            </c:dLbl>
            <c:dLbl>
              <c:idx val="3"/>
              <c:layout>
                <c:manualLayout>
                  <c:x val="9.5673962109501208E-3"/>
                  <c:y val="-1.0775862068965561E-2"/>
                </c:manualLayout>
              </c:layout>
              <c:showLegendKey val="0"/>
              <c:showVal val="1"/>
              <c:showCatName val="0"/>
              <c:showSerName val="0"/>
              <c:showPercent val="0"/>
              <c:showBubbleSize val="0"/>
            </c:dLbl>
            <c:dLbl>
              <c:idx val="4"/>
              <c:layout>
                <c:manualLayout>
                  <c:x val="1.5308075009567665E-2"/>
                  <c:y val="-7.2936464838447576E-3"/>
                </c:manualLayout>
              </c:layout>
              <c:showLegendKey val="0"/>
              <c:showVal val="1"/>
              <c:showCatName val="0"/>
              <c:showSerName val="0"/>
              <c:showPercent val="0"/>
              <c:showBubbleSize val="0"/>
            </c:dLbl>
            <c:spPr>
              <a:noFill/>
              <a:ln w="25400">
                <a:noFill/>
              </a:ln>
            </c:spPr>
            <c:txPr>
              <a:bodyPr/>
              <a:lstStyle/>
              <a:p>
                <a:pPr>
                  <a:defRPr lang="uk-UA" sz="1200" b="1" i="0" u="none" strike="noStrike" baseline="0">
                    <a:solidFill>
                      <a:srgbClr val="000000"/>
                    </a:solidFill>
                    <a:latin typeface="Times New Roman" pitchFamily="18" charset="0"/>
                    <a:ea typeface="Arial Cyr"/>
                    <a:cs typeface="Times New Roman" pitchFamily="18" charset="0"/>
                  </a:defRPr>
                </a:pPr>
                <a:endParaRPr lang="ru-RU"/>
              </a:p>
            </c:txPr>
            <c:showLegendKey val="0"/>
            <c:showVal val="1"/>
            <c:showCatName val="0"/>
            <c:showSerName val="0"/>
            <c:showPercent val="0"/>
            <c:showBubbleSize val="0"/>
            <c:showLeaderLines val="0"/>
          </c:dLbls>
          <c:cat>
            <c:strRef>
              <c:f>Лист13!$C$2:$G$2</c:f>
              <c:strCache>
                <c:ptCount val="5"/>
                <c:pt idx="0">
                  <c:v>2016 рік</c:v>
                </c:pt>
                <c:pt idx="1">
                  <c:v>2017 рік</c:v>
                </c:pt>
                <c:pt idx="2">
                  <c:v>2018 рік</c:v>
                </c:pt>
                <c:pt idx="3">
                  <c:v> 2019 рік</c:v>
                </c:pt>
                <c:pt idx="4">
                  <c:v>2020 рік</c:v>
                </c:pt>
              </c:strCache>
            </c:strRef>
          </c:cat>
          <c:val>
            <c:numRef>
              <c:f>Лист13!$C$3:$G$3</c:f>
              <c:numCache>
                <c:formatCode>General</c:formatCode>
                <c:ptCount val="5"/>
                <c:pt idx="0">
                  <c:v>17</c:v>
                </c:pt>
                <c:pt idx="1">
                  <c:v>20</c:v>
                </c:pt>
                <c:pt idx="2">
                  <c:v>26</c:v>
                </c:pt>
                <c:pt idx="3">
                  <c:v>34</c:v>
                </c:pt>
                <c:pt idx="4">
                  <c:v>34</c:v>
                </c:pt>
              </c:numCache>
            </c:numRef>
          </c:val>
        </c:ser>
        <c:ser>
          <c:idx val="1"/>
          <c:order val="1"/>
          <c:tx>
            <c:strRef>
              <c:f>Лист13!$B$4</c:f>
              <c:strCache>
                <c:ptCount val="1"/>
              </c:strCache>
            </c:strRef>
          </c:tx>
          <c:spPr>
            <a:solidFill>
              <a:srgbClr val="00FFFF"/>
            </a:solidFill>
            <a:ln w="12700">
              <a:solidFill>
                <a:srgbClr val="000000"/>
              </a:solidFill>
              <a:prstDash val="solid"/>
            </a:ln>
          </c:spPr>
          <c:invertIfNegative val="0"/>
          <c:dLbls>
            <c:dLbl>
              <c:idx val="0"/>
              <c:layout>
                <c:manualLayout>
                  <c:x val="2.3509714093537287E-3"/>
                  <c:y val="-4.0527423296225912E-2"/>
                </c:manualLayout>
              </c:layout>
              <c:showLegendKey val="0"/>
              <c:showVal val="1"/>
              <c:showCatName val="0"/>
              <c:showSerName val="0"/>
              <c:showPercent val="0"/>
              <c:showBubbleSize val="0"/>
            </c:dLbl>
            <c:spPr>
              <a:noFill/>
              <a:ln w="25400">
                <a:noFill/>
              </a:ln>
            </c:spPr>
            <c:txPr>
              <a:bodyPr/>
              <a:lstStyle/>
              <a:p>
                <a:pPr>
                  <a:defRPr lang="uk-UA" sz="10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Лист13!$C$2:$G$2</c:f>
              <c:strCache>
                <c:ptCount val="5"/>
                <c:pt idx="0">
                  <c:v>2016 рік</c:v>
                </c:pt>
                <c:pt idx="1">
                  <c:v>2017 рік</c:v>
                </c:pt>
                <c:pt idx="2">
                  <c:v>2018 рік</c:v>
                </c:pt>
                <c:pt idx="3">
                  <c:v> 2019 рік</c:v>
                </c:pt>
                <c:pt idx="4">
                  <c:v>2020 рік</c:v>
                </c:pt>
              </c:strCache>
            </c:strRef>
          </c:cat>
          <c:val>
            <c:numRef>
              <c:f>Лист13!$C$4:$G$4</c:f>
              <c:numCache>
                <c:formatCode>General</c:formatCode>
                <c:ptCount val="5"/>
              </c:numCache>
            </c:numRef>
          </c:val>
        </c:ser>
        <c:dLbls>
          <c:showLegendKey val="0"/>
          <c:showVal val="1"/>
          <c:showCatName val="0"/>
          <c:showSerName val="0"/>
          <c:showPercent val="0"/>
          <c:showBubbleSize val="0"/>
        </c:dLbls>
        <c:gapWidth val="150"/>
        <c:shape val="pyramid"/>
        <c:axId val="111807488"/>
        <c:axId val="111821568"/>
        <c:axId val="111809408"/>
      </c:bar3DChart>
      <c:catAx>
        <c:axId val="11180748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lang="uk-UA" sz="1200" b="1" i="0" u="none" strike="noStrike" baseline="0">
                <a:solidFill>
                  <a:srgbClr val="000000"/>
                </a:solidFill>
                <a:latin typeface="Times New Roman" pitchFamily="18" charset="0"/>
                <a:ea typeface="Arial Cyr"/>
                <a:cs typeface="Times New Roman" pitchFamily="18" charset="0"/>
              </a:defRPr>
            </a:pPr>
            <a:endParaRPr lang="ru-RU"/>
          </a:p>
        </c:txPr>
        <c:crossAx val="111821568"/>
        <c:crosses val="autoZero"/>
        <c:auto val="1"/>
        <c:lblAlgn val="ctr"/>
        <c:lblOffset val="100"/>
        <c:tickLblSkip val="1"/>
        <c:tickMarkSkip val="1"/>
        <c:noMultiLvlLbl val="0"/>
      </c:catAx>
      <c:valAx>
        <c:axId val="111821568"/>
        <c:scaling>
          <c:orientation val="minMax"/>
        </c:scaling>
        <c:delete val="1"/>
        <c:axPos val="l"/>
        <c:numFmt formatCode="General" sourceLinked="1"/>
        <c:majorTickMark val="out"/>
        <c:minorTickMark val="none"/>
        <c:tickLblPos val="nextTo"/>
        <c:crossAx val="111807488"/>
        <c:crosses val="autoZero"/>
        <c:crossBetween val="between"/>
      </c:valAx>
      <c:serAx>
        <c:axId val="111809408"/>
        <c:scaling>
          <c:orientation val="minMax"/>
        </c:scaling>
        <c:delete val="0"/>
        <c:axPos val="b"/>
        <c:numFmt formatCode="General" sourceLinked="1"/>
        <c:majorTickMark val="out"/>
        <c:minorTickMark val="none"/>
        <c:tickLblPos val="nextTo"/>
        <c:spPr>
          <a:ln w="3175">
            <a:solidFill>
              <a:srgbClr val="808080"/>
            </a:solidFill>
            <a:prstDash val="solid"/>
          </a:ln>
        </c:spPr>
        <c:txPr>
          <a:bodyPr rot="0" vert="horz"/>
          <a:lstStyle/>
          <a:p>
            <a:pPr>
              <a:defRPr lang="uk-UA" sz="1000" b="0" i="0" u="none" strike="noStrike" baseline="0">
                <a:solidFill>
                  <a:srgbClr val="000000"/>
                </a:solidFill>
                <a:latin typeface="Arial Cyr"/>
                <a:ea typeface="Arial Cyr"/>
                <a:cs typeface="Arial Cyr"/>
              </a:defRPr>
            </a:pPr>
            <a:endParaRPr lang="ru-RU"/>
          </a:p>
        </c:txPr>
        <c:crossAx val="111821568"/>
        <c:crosses val="autoZero"/>
        <c:tickLblSkip val="1"/>
        <c:tickMarkSkip val="1"/>
      </c:ser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view3D>
      <c:rotX val="15"/>
      <c:rotY val="20"/>
      <c:depthPercent val="100"/>
      <c:rAngAx val="0"/>
      <c:perspective val="30"/>
    </c:view3D>
    <c:floor>
      <c:thickness val="0"/>
      <c:spPr>
        <a:solidFill>
          <a:srgbClr val="7030A0"/>
        </a:solidFill>
      </c:spPr>
    </c:floor>
    <c:sideWall>
      <c:thickness val="0"/>
    </c:sideWall>
    <c:backWall>
      <c:thickness val="0"/>
    </c:backWall>
    <c:plotArea>
      <c:layout>
        <c:manualLayout>
          <c:layoutTarget val="inner"/>
          <c:xMode val="edge"/>
          <c:yMode val="edge"/>
          <c:x val="2.8070183453885542E-2"/>
          <c:y val="0.14380554275735691"/>
          <c:w val="0.94385991863690344"/>
          <c:h val="0.69469139116630862"/>
        </c:manualLayout>
      </c:layout>
      <c:bar3DChart>
        <c:barDir val="col"/>
        <c:grouping val="standard"/>
        <c:varyColors val="0"/>
        <c:ser>
          <c:idx val="0"/>
          <c:order val="0"/>
          <c:tx>
            <c:strRef>
              <c:f>Лист5!$B$3</c:f>
              <c:strCache>
                <c:ptCount val="1"/>
              </c:strCache>
            </c:strRef>
          </c:tx>
          <c:spPr>
            <a:solidFill>
              <a:schemeClr val="accent2">
                <a:lumMod val="40000"/>
                <a:lumOff val="60000"/>
              </a:schemeClr>
            </a:solidFill>
          </c:spPr>
          <c:invertIfNegative val="0"/>
          <c:dLbls>
            <c:dLbl>
              <c:idx val="0"/>
              <c:layout>
                <c:manualLayout>
                  <c:x val="9.7465886939571145E-3"/>
                  <c:y val="0"/>
                </c:manualLayout>
              </c:layout>
              <c:showLegendKey val="0"/>
              <c:showVal val="1"/>
              <c:showCatName val="0"/>
              <c:showSerName val="0"/>
              <c:showPercent val="0"/>
              <c:showBubbleSize val="0"/>
            </c:dLbl>
            <c:dLbl>
              <c:idx val="1"/>
              <c:layout>
                <c:manualLayout>
                  <c:x val="2.1442341637120076E-2"/>
                  <c:y val="-2.5811209439528155E-2"/>
                </c:manualLayout>
              </c:layout>
              <c:showLegendKey val="0"/>
              <c:showVal val="1"/>
              <c:showCatName val="0"/>
              <c:showSerName val="0"/>
              <c:showPercent val="0"/>
              <c:showBubbleSize val="0"/>
            </c:dLbl>
            <c:dLbl>
              <c:idx val="2"/>
              <c:layout>
                <c:manualLayout>
                  <c:x val="2.5341130604288498E-2"/>
                  <c:y val="-2.2123893805309811E-2"/>
                </c:manualLayout>
              </c:layout>
              <c:showLegendKey val="0"/>
              <c:showVal val="1"/>
              <c:showCatName val="0"/>
              <c:showSerName val="0"/>
              <c:showPercent val="0"/>
              <c:showBubbleSize val="0"/>
            </c:dLbl>
            <c:dLbl>
              <c:idx val="3"/>
              <c:layout>
                <c:manualLayout>
                  <c:x val="1.9493177387914336E-2"/>
                  <c:y val="-2.2123893805309811E-2"/>
                </c:manualLayout>
              </c:layout>
              <c:showLegendKey val="0"/>
              <c:showVal val="1"/>
              <c:showCatName val="0"/>
              <c:showSerName val="0"/>
              <c:showPercent val="0"/>
              <c:showBubbleSize val="0"/>
            </c:dLbl>
            <c:dLbl>
              <c:idx val="4"/>
              <c:layout>
                <c:manualLayout>
                  <c:x val="1.7543859649122938E-2"/>
                  <c:y val="-2.2123893805309811E-2"/>
                </c:manualLayout>
              </c:layout>
              <c:showLegendKey val="0"/>
              <c:showVal val="1"/>
              <c:showCatName val="0"/>
              <c:showSerName val="0"/>
              <c:showPercent val="0"/>
              <c:showBubbleSize val="0"/>
            </c:dLbl>
            <c:txPr>
              <a:bodyPr/>
              <a:lstStyle/>
              <a:p>
                <a:pPr>
                  <a:defRPr lang="uk-UA"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Лист5!$C$2:$G$2</c:f>
              <c:strCache>
                <c:ptCount val="5"/>
                <c:pt idx="0">
                  <c:v>2016 рік</c:v>
                </c:pt>
                <c:pt idx="1">
                  <c:v>2017 рік</c:v>
                </c:pt>
                <c:pt idx="2">
                  <c:v>2018 рік</c:v>
                </c:pt>
                <c:pt idx="3">
                  <c:v>2019 рік</c:v>
                </c:pt>
                <c:pt idx="4">
                  <c:v>2020 рік</c:v>
                </c:pt>
              </c:strCache>
            </c:strRef>
          </c:cat>
          <c:val>
            <c:numRef>
              <c:f>Лист5!$C$3:$G$3</c:f>
              <c:numCache>
                <c:formatCode>General</c:formatCode>
                <c:ptCount val="5"/>
                <c:pt idx="0">
                  <c:v>74.8</c:v>
                </c:pt>
                <c:pt idx="1">
                  <c:v>46.1</c:v>
                </c:pt>
                <c:pt idx="2" formatCode="0.0">
                  <c:v>67</c:v>
                </c:pt>
                <c:pt idx="3" formatCode="0.0">
                  <c:v>79</c:v>
                </c:pt>
                <c:pt idx="4" formatCode="0.0">
                  <c:v>82</c:v>
                </c:pt>
              </c:numCache>
            </c:numRef>
          </c:val>
        </c:ser>
        <c:ser>
          <c:idx val="1"/>
          <c:order val="1"/>
          <c:tx>
            <c:strRef>
              <c:f>Лист5!$B$4</c:f>
              <c:strCache>
                <c:ptCount val="1"/>
              </c:strCache>
            </c:strRef>
          </c:tx>
          <c:invertIfNegative val="0"/>
          <c:dLbls>
            <c:dLbl>
              <c:idx val="0"/>
              <c:layout>
                <c:manualLayout>
                  <c:x val="-3.2982426416987336E-2"/>
                  <c:y val="1.5486750758484581E-2"/>
                </c:manualLayout>
              </c:layout>
              <c:showLegendKey val="0"/>
              <c:showVal val="1"/>
              <c:showCatName val="0"/>
              <c:showSerName val="0"/>
              <c:showPercent val="0"/>
              <c:showBubbleSize val="0"/>
            </c:dLbl>
            <c:dLbl>
              <c:idx val="1"/>
              <c:layout>
                <c:manualLayout>
                  <c:x val="-3.2280771417407352E-2"/>
                  <c:y val="1.5486750758484581E-2"/>
                </c:manualLayout>
              </c:layout>
              <c:showLegendKey val="0"/>
              <c:showVal val="1"/>
              <c:showCatName val="0"/>
              <c:showSerName val="0"/>
              <c:showPercent val="0"/>
              <c:showBubbleSize val="0"/>
            </c:dLbl>
            <c:dLbl>
              <c:idx val="2"/>
              <c:layout>
                <c:manualLayout>
                  <c:x val="-3.6257326837222055E-2"/>
                  <c:y val="1.5486750758484581E-2"/>
                </c:manualLayout>
              </c:layout>
              <c:showLegendKey val="0"/>
              <c:showVal val="1"/>
              <c:showCatName val="0"/>
              <c:showSerName val="0"/>
              <c:showPercent val="0"/>
              <c:showBubbleSize val="0"/>
            </c:dLbl>
            <c:dLbl>
              <c:idx val="3"/>
              <c:layout>
                <c:manualLayout>
                  <c:x val="-3.6725109325301465E-2"/>
                  <c:y val="1.5486750758484581E-2"/>
                </c:manualLayout>
              </c:layout>
              <c:showLegendKey val="0"/>
              <c:showVal val="1"/>
              <c:showCatName val="0"/>
              <c:showSerName val="0"/>
              <c:showPercent val="0"/>
              <c:showBubbleSize val="0"/>
            </c:dLbl>
            <c:dLbl>
              <c:idx val="4"/>
              <c:layout>
                <c:manualLayout>
                  <c:x val="-3.8362636280211561E-2"/>
                  <c:y val="1.5486750758484581E-2"/>
                </c:manualLayout>
              </c:layout>
              <c:showLegendKey val="0"/>
              <c:showVal val="1"/>
              <c:showCatName val="0"/>
              <c:showSerName val="0"/>
              <c:showPercent val="0"/>
              <c:showBubbleSize val="0"/>
            </c:dLbl>
            <c:txPr>
              <a:bodyPr/>
              <a:lstStyle/>
              <a:p>
                <a:pPr>
                  <a:defRPr lang="uk-UA"/>
                </a:pPr>
                <a:endParaRPr lang="ru-RU"/>
              </a:p>
            </c:txPr>
            <c:showLegendKey val="0"/>
            <c:showVal val="1"/>
            <c:showCatName val="0"/>
            <c:showSerName val="0"/>
            <c:showPercent val="0"/>
            <c:showBubbleSize val="0"/>
            <c:showLeaderLines val="0"/>
          </c:dLbls>
          <c:cat>
            <c:strRef>
              <c:f>Лист5!$C$2:$G$2</c:f>
              <c:strCache>
                <c:ptCount val="5"/>
                <c:pt idx="0">
                  <c:v>2016 рік</c:v>
                </c:pt>
                <c:pt idx="1">
                  <c:v>2017 рік</c:v>
                </c:pt>
                <c:pt idx="2">
                  <c:v>2018 рік</c:v>
                </c:pt>
                <c:pt idx="3">
                  <c:v>2019 рік</c:v>
                </c:pt>
                <c:pt idx="4">
                  <c:v>2020 рік</c:v>
                </c:pt>
              </c:strCache>
            </c:strRef>
          </c:cat>
          <c:val>
            <c:numRef>
              <c:f>Лист5!$C$4:$G$4</c:f>
              <c:numCache>
                <c:formatCode>General</c:formatCode>
                <c:ptCount val="5"/>
              </c:numCache>
            </c:numRef>
          </c:val>
        </c:ser>
        <c:dLbls>
          <c:showLegendKey val="0"/>
          <c:showVal val="1"/>
          <c:showCatName val="0"/>
          <c:showSerName val="0"/>
          <c:showPercent val="0"/>
          <c:showBubbleSize val="0"/>
        </c:dLbls>
        <c:gapWidth val="150"/>
        <c:shape val="cylinder"/>
        <c:axId val="111852544"/>
        <c:axId val="111870720"/>
        <c:axId val="111811200"/>
      </c:bar3DChart>
      <c:catAx>
        <c:axId val="111852544"/>
        <c:scaling>
          <c:orientation val="minMax"/>
        </c:scaling>
        <c:delete val="0"/>
        <c:axPos val="b"/>
        <c:numFmt formatCode="General" sourceLinked="1"/>
        <c:majorTickMark val="cross"/>
        <c:minorTickMark val="none"/>
        <c:tickLblPos val="nextTo"/>
        <c:txPr>
          <a:bodyPr rot="0" vert="horz"/>
          <a:lstStyle/>
          <a:p>
            <a:pPr>
              <a:defRPr lang="uk-UA" sz="1200" b="1">
                <a:latin typeface="Times New Roman" pitchFamily="18" charset="0"/>
                <a:cs typeface="Times New Roman" pitchFamily="18" charset="0"/>
              </a:defRPr>
            </a:pPr>
            <a:endParaRPr lang="ru-RU"/>
          </a:p>
        </c:txPr>
        <c:crossAx val="111870720"/>
        <c:crosses val="autoZero"/>
        <c:auto val="0"/>
        <c:lblAlgn val="ctr"/>
        <c:lblOffset val="100"/>
        <c:tickLblSkip val="1"/>
        <c:tickMarkSkip val="1"/>
        <c:noMultiLvlLbl val="0"/>
      </c:catAx>
      <c:valAx>
        <c:axId val="111870720"/>
        <c:scaling>
          <c:orientation val="minMax"/>
        </c:scaling>
        <c:delete val="1"/>
        <c:axPos val="l"/>
        <c:numFmt formatCode="General" sourceLinked="1"/>
        <c:majorTickMark val="out"/>
        <c:minorTickMark val="none"/>
        <c:tickLblPos val="nextTo"/>
        <c:crossAx val="111852544"/>
        <c:crosses val="autoZero"/>
        <c:crossBetween val="between"/>
      </c:valAx>
      <c:serAx>
        <c:axId val="111811200"/>
        <c:scaling>
          <c:orientation val="minMax"/>
        </c:scaling>
        <c:delete val="0"/>
        <c:axPos val="b"/>
        <c:numFmt formatCode="General" sourceLinked="1"/>
        <c:majorTickMark val="out"/>
        <c:minorTickMark val="none"/>
        <c:tickLblPos val="nextTo"/>
        <c:spPr>
          <a:ln w="3175">
            <a:solidFill>
              <a:srgbClr val="808080"/>
            </a:solidFill>
            <a:prstDash val="solid"/>
          </a:ln>
        </c:spPr>
        <c:txPr>
          <a:bodyPr rot="0" vert="horz"/>
          <a:lstStyle/>
          <a:p>
            <a:pPr>
              <a:defRPr lang="uk-UA" sz="1000" b="0" i="0" u="none" strike="noStrike" baseline="0">
                <a:solidFill>
                  <a:srgbClr val="000000"/>
                </a:solidFill>
                <a:latin typeface="Calibri"/>
                <a:ea typeface="Calibri"/>
                <a:cs typeface="Calibri"/>
              </a:defRPr>
            </a:pPr>
            <a:endParaRPr lang="ru-RU"/>
          </a:p>
        </c:txPr>
        <c:crossAx val="111870720"/>
        <c:crosses val="autoZero"/>
        <c:tickLblSkip val="1"/>
        <c:tickMarkSkip val="1"/>
      </c:serAx>
      <c:spPr>
        <a:noFill/>
        <a:ln w="25400">
          <a:noFill/>
        </a:ln>
      </c:spPr>
    </c:plotArea>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0"/>
          <c:w val="0.96170512949712783"/>
          <c:h val="0.75954940145084593"/>
        </c:manualLayout>
      </c:layout>
      <c:barChart>
        <c:barDir val="col"/>
        <c:grouping val="stacked"/>
        <c:varyColors val="0"/>
        <c:ser>
          <c:idx val="0"/>
          <c:order val="0"/>
          <c:tx>
            <c:strRef>
              <c:f>Лист1!$B$1</c:f>
              <c:strCache>
                <c:ptCount val="1"/>
                <c:pt idx="0">
                  <c:v>Загальнодержавні податки та збори</c:v>
                </c:pt>
              </c:strCache>
            </c:strRef>
          </c:tx>
          <c:spPr>
            <a:solidFill>
              <a:srgbClr val="7030A0"/>
            </a:solidFill>
          </c:spPr>
          <c:invertIfNegative val="0"/>
          <c:dLbls>
            <c:dLbl>
              <c:idx val="0"/>
              <c:layout>
                <c:manualLayout>
                  <c:x val="-4.3520341207349085E-3"/>
                  <c:y val="8.4955928320057245E-3"/>
                </c:manualLayout>
              </c:layout>
              <c:showLegendKey val="0"/>
              <c:showVal val="1"/>
              <c:showCatName val="0"/>
              <c:showSerName val="0"/>
              <c:showPercent val="0"/>
              <c:showBubbleSize val="0"/>
            </c:dLbl>
            <c:dLbl>
              <c:idx val="1"/>
              <c:layout>
                <c:manualLayout>
                  <c:x val="1.1851768899838721E-2"/>
                  <c:y val="1.2387147505224938E-2"/>
                </c:manualLayout>
              </c:layout>
              <c:showLegendKey val="0"/>
              <c:showVal val="1"/>
              <c:showCatName val="0"/>
              <c:showSerName val="0"/>
              <c:showPercent val="0"/>
              <c:showBubbleSize val="0"/>
            </c:dLbl>
            <c:dLbl>
              <c:idx val="2"/>
              <c:layout>
                <c:manualLayout>
                  <c:x val="1.3333240012318373E-2"/>
                  <c:y val="1.2684354650693355E-2"/>
                </c:manualLayout>
              </c:layout>
              <c:showLegendKey val="0"/>
              <c:showVal val="1"/>
              <c:showCatName val="0"/>
              <c:showSerName val="0"/>
              <c:showPercent val="0"/>
              <c:showBubbleSize val="0"/>
            </c:dLbl>
            <c:dLbl>
              <c:idx val="3"/>
              <c:layout>
                <c:manualLayout>
                  <c:x val="7.4073555623990969E-3"/>
                  <c:y val="3.6467138298750611E-2"/>
                </c:manualLayout>
              </c:layout>
              <c:showLegendKey val="0"/>
              <c:showVal val="1"/>
              <c:showCatName val="0"/>
              <c:showSerName val="0"/>
              <c:showPercent val="0"/>
              <c:showBubbleSize val="0"/>
            </c:dLbl>
            <c:dLbl>
              <c:idx val="4"/>
              <c:layout>
                <c:manualLayout>
                  <c:x val="6.0888013998250433E-3"/>
                  <c:y val="-5.2287119295821834E-3"/>
                </c:manualLayout>
              </c:layout>
              <c:showLegendKey val="0"/>
              <c:showVal val="1"/>
              <c:showCatName val="0"/>
              <c:showSerName val="0"/>
              <c:showPercent val="0"/>
              <c:showBubbleSize val="0"/>
            </c:dLbl>
            <c:dLbl>
              <c:idx val="5"/>
              <c:layout>
                <c:manualLayout>
                  <c:x val="4.3999343832020997E-3"/>
                  <c:y val="9.8216400309625567E-3"/>
                </c:manualLayout>
              </c:layout>
              <c:showLegendKey val="0"/>
              <c:showVal val="1"/>
              <c:showCatName val="0"/>
              <c:showSerName val="0"/>
              <c:showPercent val="0"/>
              <c:showBubbleSize val="0"/>
            </c:dLbl>
            <c:txPr>
              <a:bodyPr/>
              <a:lstStyle/>
              <a:p>
                <a:pPr>
                  <a:defRPr lang="ru-RU"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Лист1!$A$2:$A$7</c:f>
              <c:strCache>
                <c:ptCount val="6"/>
                <c:pt idx="0">
                  <c:v>2016</c:v>
                </c:pt>
                <c:pt idx="1">
                  <c:v>2017</c:v>
                </c:pt>
                <c:pt idx="2">
                  <c:v>2018</c:v>
                </c:pt>
                <c:pt idx="3">
                  <c:v>2019</c:v>
                </c:pt>
                <c:pt idx="4">
                  <c:v>2020</c:v>
                </c:pt>
                <c:pt idx="5">
                  <c:v>2021 (план)</c:v>
                </c:pt>
              </c:strCache>
            </c:strRef>
          </c:cat>
          <c:val>
            <c:numRef>
              <c:f>Лист1!$B$2:$B$7</c:f>
              <c:numCache>
                <c:formatCode>General</c:formatCode>
                <c:ptCount val="6"/>
                <c:pt idx="0">
                  <c:v>94.1</c:v>
                </c:pt>
                <c:pt idx="1">
                  <c:v>124.9</c:v>
                </c:pt>
                <c:pt idx="2">
                  <c:v>154.69999999999999</c:v>
                </c:pt>
                <c:pt idx="3">
                  <c:v>174.8</c:v>
                </c:pt>
                <c:pt idx="4">
                  <c:v>191.9</c:v>
                </c:pt>
                <c:pt idx="5">
                  <c:v>226.6</c:v>
                </c:pt>
              </c:numCache>
            </c:numRef>
          </c:val>
        </c:ser>
        <c:ser>
          <c:idx val="1"/>
          <c:order val="1"/>
          <c:tx>
            <c:strRef>
              <c:f>Лист1!$C$1</c:f>
              <c:strCache>
                <c:ptCount val="1"/>
                <c:pt idx="0">
                  <c:v>Місцеві податки і збори </c:v>
                </c:pt>
              </c:strCache>
            </c:strRef>
          </c:tx>
          <c:spPr>
            <a:solidFill>
              <a:srgbClr val="FFFF00"/>
            </a:solidFill>
          </c:spPr>
          <c:invertIfNegative val="0"/>
          <c:dLbls>
            <c:dLbl>
              <c:idx val="0"/>
              <c:layout>
                <c:manualLayout>
                  <c:x val="5.7129483814523846E-2"/>
                  <c:y val="6.6368567725259694E-3"/>
                </c:manualLayout>
              </c:layout>
              <c:showLegendKey val="0"/>
              <c:showVal val="1"/>
              <c:showCatName val="0"/>
              <c:showSerName val="0"/>
              <c:showPercent val="0"/>
              <c:showBubbleSize val="0"/>
            </c:dLbl>
            <c:dLbl>
              <c:idx val="1"/>
              <c:layout>
                <c:manualLayout>
                  <c:x val="6.3240594925634303E-2"/>
                  <c:y val="3.7345915585462713E-2"/>
                </c:manualLayout>
              </c:layout>
              <c:showLegendKey val="0"/>
              <c:showVal val="1"/>
              <c:showCatName val="0"/>
              <c:showSerName val="0"/>
              <c:showPercent val="0"/>
              <c:showBubbleSize val="0"/>
            </c:dLbl>
            <c:dLbl>
              <c:idx val="2"/>
              <c:layout>
                <c:manualLayout>
                  <c:x val="6.2035214348207281E-3"/>
                  <c:y val="-9.3466465193249723E-4"/>
                </c:manualLayout>
              </c:layout>
              <c:showLegendKey val="0"/>
              <c:showVal val="1"/>
              <c:showCatName val="0"/>
              <c:showSerName val="0"/>
              <c:showPercent val="0"/>
              <c:showBubbleSize val="0"/>
            </c:dLbl>
            <c:dLbl>
              <c:idx val="3"/>
              <c:layout>
                <c:manualLayout>
                  <c:x val="2.7777777777778351E-3"/>
                  <c:y val="-2.7231069779821344E-3"/>
                </c:manualLayout>
              </c:layout>
              <c:showLegendKey val="0"/>
              <c:showVal val="1"/>
              <c:showCatName val="0"/>
              <c:showSerName val="0"/>
              <c:showPercent val="0"/>
              <c:showBubbleSize val="0"/>
            </c:dLbl>
            <c:dLbl>
              <c:idx val="4"/>
              <c:layout>
                <c:manualLayout>
                  <c:x val="-6.4445538057743392E-3"/>
                  <c:y val="1.04575743241499E-2"/>
                </c:manualLayout>
              </c:layout>
              <c:showLegendKey val="0"/>
              <c:showVal val="1"/>
              <c:showCatName val="0"/>
              <c:showSerName val="0"/>
              <c:showPercent val="0"/>
              <c:showBubbleSize val="0"/>
            </c:dLbl>
            <c:dLbl>
              <c:idx val="5"/>
              <c:layout>
                <c:manualLayout>
                  <c:x val="-1.0889107611548681E-3"/>
                  <c:y val="0"/>
                </c:manualLayout>
              </c:layout>
              <c:showLegendKey val="0"/>
              <c:showVal val="1"/>
              <c:showCatName val="0"/>
              <c:showSerName val="0"/>
              <c:showPercent val="0"/>
              <c:showBubbleSize val="0"/>
            </c:dLbl>
            <c:txPr>
              <a:bodyPr/>
              <a:lstStyle/>
              <a:p>
                <a:pPr>
                  <a:defRPr lang="ru-RU"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Лист1!$A$2:$A$7</c:f>
              <c:strCache>
                <c:ptCount val="6"/>
                <c:pt idx="0">
                  <c:v>2016</c:v>
                </c:pt>
                <c:pt idx="1">
                  <c:v>2017</c:v>
                </c:pt>
                <c:pt idx="2">
                  <c:v>2018</c:v>
                </c:pt>
                <c:pt idx="3">
                  <c:v>2019</c:v>
                </c:pt>
                <c:pt idx="4">
                  <c:v>2020</c:v>
                </c:pt>
                <c:pt idx="5">
                  <c:v>2021 (план)</c:v>
                </c:pt>
              </c:strCache>
            </c:strRef>
          </c:cat>
          <c:val>
            <c:numRef>
              <c:f>Лист1!$C$2:$C$7</c:f>
              <c:numCache>
                <c:formatCode>0.0</c:formatCode>
                <c:ptCount val="6"/>
                <c:pt idx="0">
                  <c:v>31</c:v>
                </c:pt>
                <c:pt idx="1">
                  <c:v>44.8</c:v>
                </c:pt>
                <c:pt idx="2">
                  <c:v>49.5</c:v>
                </c:pt>
                <c:pt idx="3">
                  <c:v>61.3</c:v>
                </c:pt>
                <c:pt idx="4">
                  <c:v>62.6</c:v>
                </c:pt>
                <c:pt idx="5">
                  <c:v>85.5</c:v>
                </c:pt>
              </c:numCache>
            </c:numRef>
          </c:val>
        </c:ser>
        <c:ser>
          <c:idx val="2"/>
          <c:order val="2"/>
          <c:tx>
            <c:strRef>
              <c:f>Лист1!$D$1</c:f>
              <c:strCache>
                <c:ptCount val="1"/>
                <c:pt idx="0">
                  <c:v>Костянтинівка</c:v>
                </c:pt>
              </c:strCache>
            </c:strRef>
          </c:tx>
          <c:invertIfNegative val="0"/>
          <c:dLbls>
            <c:dLbl>
              <c:idx val="0"/>
              <c:layout>
                <c:manualLayout>
                  <c:x val="-5.1851488936793734E-2"/>
                  <c:y val="-4.5583922873438924E-2"/>
                </c:manualLayout>
              </c:layout>
              <c:showLegendKey val="0"/>
              <c:showVal val="1"/>
              <c:showCatName val="0"/>
              <c:showSerName val="0"/>
              <c:showPercent val="0"/>
              <c:showBubbleSize val="0"/>
            </c:dLbl>
            <c:dLbl>
              <c:idx val="1"/>
              <c:layout>
                <c:manualLayout>
                  <c:x val="-5.1851488936793734E-2"/>
                  <c:y val="-5.0142315160781985E-2"/>
                </c:manualLayout>
              </c:layout>
              <c:showLegendKey val="0"/>
              <c:showVal val="1"/>
              <c:showCatName val="0"/>
              <c:showSerName val="0"/>
              <c:showPercent val="0"/>
              <c:showBubbleSize val="0"/>
            </c:dLbl>
            <c:dLbl>
              <c:idx val="2"/>
              <c:layout>
                <c:manualLayout>
                  <c:x val="-5.1851488936793734E-2"/>
                  <c:y val="-4.1025530586094365E-2"/>
                </c:manualLayout>
              </c:layout>
              <c:showLegendKey val="0"/>
              <c:showVal val="1"/>
              <c:showCatName val="0"/>
              <c:showSerName val="0"/>
              <c:showPercent val="0"/>
              <c:showBubbleSize val="0"/>
            </c:dLbl>
            <c:dLbl>
              <c:idx val="3"/>
              <c:layout>
                <c:manualLayout>
                  <c:x val="-5.1851488936793734E-2"/>
                  <c:y val="-3.646713829875061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Лист1!$A$2:$A$7</c:f>
              <c:strCache>
                <c:ptCount val="6"/>
                <c:pt idx="0">
                  <c:v>2016</c:v>
                </c:pt>
                <c:pt idx="1">
                  <c:v>2017</c:v>
                </c:pt>
                <c:pt idx="2">
                  <c:v>2018</c:v>
                </c:pt>
                <c:pt idx="3">
                  <c:v>2019</c:v>
                </c:pt>
                <c:pt idx="4">
                  <c:v>2020</c:v>
                </c:pt>
                <c:pt idx="5">
                  <c:v>2021 (план)</c:v>
                </c:pt>
              </c:strCache>
            </c:strRef>
          </c:cat>
          <c:val>
            <c:numRef>
              <c:f>Лист1!$D$2:$D$7</c:f>
            </c:numRef>
          </c:val>
        </c:ser>
        <c:ser>
          <c:idx val="3"/>
          <c:order val="3"/>
          <c:tx>
            <c:strRef>
              <c:f>Лист1!$E$1</c:f>
              <c:strCache>
                <c:ptCount val="1"/>
                <c:pt idx="0">
                  <c:v>Інші надходження</c:v>
                </c:pt>
              </c:strCache>
            </c:strRef>
          </c:tx>
          <c:invertIfNegative val="0"/>
          <c:dLbls>
            <c:dLbl>
              <c:idx val="0"/>
              <c:layout>
                <c:manualLayout>
                  <c:x val="5.6944444444444443E-2"/>
                  <c:y val="-9.6095859781765124E-3"/>
                </c:manualLayout>
              </c:layout>
              <c:showLegendKey val="0"/>
              <c:showVal val="1"/>
              <c:showCatName val="0"/>
              <c:showSerName val="0"/>
              <c:showPercent val="0"/>
              <c:showBubbleSize val="0"/>
            </c:dLbl>
            <c:dLbl>
              <c:idx val="1"/>
              <c:layout>
                <c:manualLayout>
                  <c:x val="6.3888888888888884E-2"/>
                  <c:y val="1.2011982472720369E-2"/>
                </c:manualLayout>
              </c:layout>
              <c:showLegendKey val="0"/>
              <c:showVal val="1"/>
              <c:showCatName val="0"/>
              <c:showSerName val="0"/>
              <c:showPercent val="0"/>
              <c:showBubbleSize val="0"/>
            </c:dLbl>
            <c:dLbl>
              <c:idx val="2"/>
              <c:layout>
                <c:manualLayout>
                  <c:x val="5.1388888888888887E-2"/>
                  <c:y val="2.4023964945441008E-3"/>
                </c:manualLayout>
              </c:layout>
              <c:showLegendKey val="0"/>
              <c:showVal val="1"/>
              <c:showCatName val="0"/>
              <c:showSerName val="0"/>
              <c:showPercent val="0"/>
              <c:showBubbleSize val="0"/>
            </c:dLbl>
            <c:txPr>
              <a:bodyPr/>
              <a:lstStyle/>
              <a:p>
                <a:pPr>
                  <a:defRPr lang="ru-RU"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Лист1!$A$2:$A$7</c:f>
              <c:strCache>
                <c:ptCount val="6"/>
                <c:pt idx="0">
                  <c:v>2016</c:v>
                </c:pt>
                <c:pt idx="1">
                  <c:v>2017</c:v>
                </c:pt>
                <c:pt idx="2">
                  <c:v>2018</c:v>
                </c:pt>
                <c:pt idx="3">
                  <c:v>2019</c:v>
                </c:pt>
                <c:pt idx="4">
                  <c:v>2020</c:v>
                </c:pt>
                <c:pt idx="5">
                  <c:v>2021 (план)</c:v>
                </c:pt>
              </c:strCache>
            </c:strRef>
          </c:cat>
          <c:val>
            <c:numRef>
              <c:f>Лист1!$E$2:$E$7</c:f>
              <c:numCache>
                <c:formatCode>General</c:formatCode>
                <c:ptCount val="6"/>
                <c:pt idx="0">
                  <c:v>21.2</c:v>
                </c:pt>
                <c:pt idx="1">
                  <c:v>19.5</c:v>
                </c:pt>
                <c:pt idx="2">
                  <c:v>28.2</c:v>
                </c:pt>
                <c:pt idx="3">
                  <c:v>23.8</c:v>
                </c:pt>
                <c:pt idx="4" formatCode="0.0">
                  <c:v>26</c:v>
                </c:pt>
                <c:pt idx="5">
                  <c:v>20.6</c:v>
                </c:pt>
              </c:numCache>
            </c:numRef>
          </c:val>
        </c:ser>
        <c:ser>
          <c:idx val="4"/>
          <c:order val="4"/>
          <c:tx>
            <c:strRef>
              <c:f>Лист1!$F$1</c:f>
              <c:strCache>
                <c:ptCount val="1"/>
                <c:pt idx="0">
                  <c:v>Дотації </c:v>
                </c:pt>
              </c:strCache>
            </c:strRef>
          </c:tx>
          <c:spPr>
            <a:solidFill>
              <a:srgbClr val="FF0000"/>
            </a:solidFill>
          </c:spPr>
          <c:invertIfNegative val="0"/>
          <c:dLbls>
            <c:dLbl>
              <c:idx val="0"/>
              <c:layout>
                <c:manualLayout>
                  <c:x val="5.6944444444444443E-2"/>
                  <c:y val="-4.5645533396337895E-2"/>
                </c:manualLayout>
              </c:layout>
              <c:showLegendKey val="0"/>
              <c:showVal val="1"/>
              <c:showCatName val="0"/>
              <c:showSerName val="0"/>
              <c:showPercent val="0"/>
              <c:showBubbleSize val="0"/>
            </c:dLbl>
            <c:dLbl>
              <c:idx val="1"/>
              <c:layout>
                <c:manualLayout>
                  <c:x val="6.25E-2"/>
                  <c:y val="-2.4023964945440998E-2"/>
                </c:manualLayout>
              </c:layout>
              <c:showLegendKey val="0"/>
              <c:showVal val="1"/>
              <c:showCatName val="0"/>
              <c:showSerName val="0"/>
              <c:showPercent val="0"/>
              <c:showBubbleSize val="0"/>
            </c:dLbl>
            <c:txPr>
              <a:bodyPr/>
              <a:lstStyle/>
              <a:p>
                <a:pPr>
                  <a:defRPr lang="ru-RU"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Лист1!$A$2:$A$7</c:f>
              <c:strCache>
                <c:ptCount val="6"/>
                <c:pt idx="0">
                  <c:v>2016</c:v>
                </c:pt>
                <c:pt idx="1">
                  <c:v>2017</c:v>
                </c:pt>
                <c:pt idx="2">
                  <c:v>2018</c:v>
                </c:pt>
                <c:pt idx="3">
                  <c:v>2019</c:v>
                </c:pt>
                <c:pt idx="4">
                  <c:v>2020</c:v>
                </c:pt>
                <c:pt idx="5">
                  <c:v>2021 (план)</c:v>
                </c:pt>
              </c:strCache>
            </c:strRef>
          </c:cat>
          <c:val>
            <c:numRef>
              <c:f>Лист1!$F$2:$F$7</c:f>
              <c:numCache>
                <c:formatCode>General</c:formatCode>
                <c:ptCount val="6"/>
                <c:pt idx="0">
                  <c:v>19.899999999999999</c:v>
                </c:pt>
                <c:pt idx="1">
                  <c:v>20.3</c:v>
                </c:pt>
                <c:pt idx="2">
                  <c:v>70</c:v>
                </c:pt>
                <c:pt idx="3">
                  <c:v>64.8</c:v>
                </c:pt>
                <c:pt idx="4">
                  <c:v>74.3</c:v>
                </c:pt>
                <c:pt idx="5">
                  <c:v>97.4</c:v>
                </c:pt>
              </c:numCache>
            </c:numRef>
          </c:val>
        </c:ser>
        <c:ser>
          <c:idx val="5"/>
          <c:order val="5"/>
          <c:tx>
            <c:strRef>
              <c:f>Лист1!$G$1</c:f>
              <c:strCache>
                <c:ptCount val="1"/>
                <c:pt idx="0">
                  <c:v>Субвенції</c:v>
                </c:pt>
              </c:strCache>
            </c:strRef>
          </c:tx>
          <c:spPr>
            <a:solidFill>
              <a:srgbClr val="00B0F0"/>
            </a:solidFill>
          </c:spPr>
          <c:invertIfNegative val="0"/>
          <c:dLbls>
            <c:txPr>
              <a:bodyPr/>
              <a:lstStyle/>
              <a:p>
                <a:pPr>
                  <a:defRPr lang="ru-RU"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Лист1!$A$2:$A$7</c:f>
              <c:strCache>
                <c:ptCount val="6"/>
                <c:pt idx="0">
                  <c:v>2016</c:v>
                </c:pt>
                <c:pt idx="1">
                  <c:v>2017</c:v>
                </c:pt>
                <c:pt idx="2">
                  <c:v>2018</c:v>
                </c:pt>
                <c:pt idx="3">
                  <c:v>2019</c:v>
                </c:pt>
                <c:pt idx="4">
                  <c:v>2020</c:v>
                </c:pt>
                <c:pt idx="5">
                  <c:v>2021 (план)</c:v>
                </c:pt>
              </c:strCache>
            </c:strRef>
          </c:cat>
          <c:val>
            <c:numRef>
              <c:f>Лист1!$G$2:$G$7</c:f>
              <c:numCache>
                <c:formatCode>General</c:formatCode>
                <c:ptCount val="6"/>
                <c:pt idx="0">
                  <c:v>430.7</c:v>
                </c:pt>
                <c:pt idx="1">
                  <c:v>508.8</c:v>
                </c:pt>
                <c:pt idx="2">
                  <c:v>548.1</c:v>
                </c:pt>
                <c:pt idx="3">
                  <c:v>370.2</c:v>
                </c:pt>
                <c:pt idx="4">
                  <c:v>189</c:v>
                </c:pt>
                <c:pt idx="5">
                  <c:v>151.30000000000001</c:v>
                </c:pt>
              </c:numCache>
            </c:numRef>
          </c:val>
        </c:ser>
        <c:dLbls>
          <c:showLegendKey val="0"/>
          <c:showVal val="0"/>
          <c:showCatName val="0"/>
          <c:showSerName val="0"/>
          <c:showPercent val="0"/>
          <c:showBubbleSize val="0"/>
        </c:dLbls>
        <c:gapWidth val="150"/>
        <c:overlap val="100"/>
        <c:axId val="111955328"/>
        <c:axId val="111998080"/>
      </c:barChart>
      <c:catAx>
        <c:axId val="111955328"/>
        <c:scaling>
          <c:orientation val="minMax"/>
        </c:scaling>
        <c:delete val="0"/>
        <c:axPos val="b"/>
        <c:numFmt formatCode="General" sourceLinked="1"/>
        <c:majorTickMark val="out"/>
        <c:minorTickMark val="none"/>
        <c:tickLblPos val="nextTo"/>
        <c:txPr>
          <a:bodyPr/>
          <a:lstStyle/>
          <a:p>
            <a:pPr>
              <a:defRPr lang="ru-RU" sz="1100" b="1">
                <a:latin typeface="Times New Roman" pitchFamily="18" charset="0"/>
                <a:cs typeface="Times New Roman" pitchFamily="18" charset="0"/>
              </a:defRPr>
            </a:pPr>
            <a:endParaRPr lang="ru-RU"/>
          </a:p>
        </c:txPr>
        <c:crossAx val="111998080"/>
        <c:crosses val="autoZero"/>
        <c:auto val="1"/>
        <c:lblAlgn val="ctr"/>
        <c:lblOffset val="100"/>
        <c:noMultiLvlLbl val="0"/>
      </c:catAx>
      <c:valAx>
        <c:axId val="111998080"/>
        <c:scaling>
          <c:orientation val="minMax"/>
        </c:scaling>
        <c:delete val="1"/>
        <c:axPos val="l"/>
        <c:numFmt formatCode="General" sourceLinked="1"/>
        <c:majorTickMark val="out"/>
        <c:minorTickMark val="none"/>
        <c:tickLblPos val="nextTo"/>
        <c:crossAx val="111955328"/>
        <c:crosses val="autoZero"/>
        <c:crossBetween val="between"/>
      </c:valAx>
    </c:plotArea>
    <c:legend>
      <c:legendPos val="r"/>
      <c:layout>
        <c:manualLayout>
          <c:xMode val="edge"/>
          <c:yMode val="edge"/>
          <c:x val="0"/>
          <c:y val="0.86469439732281983"/>
          <c:w val="0.97644032276878634"/>
          <c:h val="0.13530561888382014"/>
        </c:manualLayout>
      </c:layout>
      <c:overlay val="0"/>
      <c:txPr>
        <a:bodyPr/>
        <a:lstStyle/>
        <a:p>
          <a:pPr>
            <a:defRPr lang="ru-RU" sz="1100" b="1">
              <a:latin typeface="Times New Roman" pitchFamily="18" charset="0"/>
              <a:cs typeface="Times New Roman" pitchFamily="18" charset="0"/>
            </a:defRPr>
          </a:pPr>
          <a:endParaRPr lang="ru-RU"/>
        </a:p>
      </c:txPr>
    </c:legend>
    <c:plotVisOnly val="1"/>
    <c:dispBlanksAs val="gap"/>
    <c:showDLblsOverMax val="0"/>
  </c:chart>
  <c:txPr>
    <a:bodyPr/>
    <a:lstStyle/>
    <a:p>
      <a:pPr>
        <a:defRPr sz="1800"/>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783902012248657"/>
          <c:y val="2.8758110734165541E-2"/>
          <c:w val="0.80253288907262665"/>
          <c:h val="0.75954940145084615"/>
        </c:manualLayout>
      </c:layout>
      <c:barChart>
        <c:barDir val="bar"/>
        <c:grouping val="stacked"/>
        <c:varyColors val="0"/>
        <c:ser>
          <c:idx val="0"/>
          <c:order val="0"/>
          <c:tx>
            <c:strRef>
              <c:f>Лист1!$B$1</c:f>
              <c:strCache>
                <c:ptCount val="1"/>
                <c:pt idx="0">
                  <c:v>Освіта</c:v>
                </c:pt>
              </c:strCache>
            </c:strRef>
          </c:tx>
          <c:spPr>
            <a:solidFill>
              <a:schemeClr val="accent4"/>
            </a:solidFill>
          </c:spPr>
          <c:invertIfNegative val="0"/>
          <c:dLbls>
            <c:dLbl>
              <c:idx val="0"/>
              <c:layout>
                <c:manualLayout>
                  <c:x val="3.9812992125984412E-3"/>
                  <c:y val="-4.5761832614209024E-3"/>
                </c:manualLayout>
              </c:layout>
              <c:showLegendKey val="0"/>
              <c:showVal val="1"/>
              <c:showCatName val="0"/>
              <c:showSerName val="0"/>
              <c:showPercent val="0"/>
              <c:showBubbleSize val="0"/>
            </c:dLbl>
            <c:dLbl>
              <c:idx val="1"/>
              <c:layout>
                <c:manualLayout>
                  <c:x val="3.1296259842519686E-2"/>
                  <c:y val="4.5440696946741875E-3"/>
                </c:manualLayout>
              </c:layout>
              <c:showLegendKey val="0"/>
              <c:showVal val="1"/>
              <c:showCatName val="0"/>
              <c:showSerName val="0"/>
              <c:showPercent val="0"/>
              <c:showBubbleSize val="0"/>
            </c:dLbl>
            <c:dLbl>
              <c:idx val="2"/>
              <c:layout>
                <c:manualLayout>
                  <c:x val="2.4444335083114999E-2"/>
                  <c:y val="-3.0017950660386691E-3"/>
                </c:manualLayout>
              </c:layout>
              <c:showLegendKey val="0"/>
              <c:showVal val="1"/>
              <c:showCatName val="0"/>
              <c:showSerName val="0"/>
              <c:showPercent val="0"/>
              <c:showBubbleSize val="0"/>
            </c:dLbl>
            <c:dLbl>
              <c:idx val="3"/>
              <c:layout>
                <c:manualLayout>
                  <c:x val="1.2962926509186361E-2"/>
                  <c:y val="-7.9771334936267705E-3"/>
                </c:manualLayout>
              </c:layout>
              <c:showLegendKey val="0"/>
              <c:showVal val="1"/>
              <c:showCatName val="0"/>
              <c:showSerName val="0"/>
              <c:showPercent val="0"/>
              <c:showBubbleSize val="0"/>
            </c:dLbl>
            <c:dLbl>
              <c:idx val="4"/>
              <c:layout>
                <c:manualLayout>
                  <c:x val="6.0888013998250433E-3"/>
                  <c:y val="-5.2287119295821834E-3"/>
                </c:manualLayout>
              </c:layout>
              <c:showLegendKey val="0"/>
              <c:showVal val="1"/>
              <c:showCatName val="0"/>
              <c:showSerName val="0"/>
              <c:showPercent val="0"/>
              <c:showBubbleSize val="0"/>
            </c:dLbl>
            <c:dLbl>
              <c:idx val="5"/>
              <c:layout>
                <c:manualLayout>
                  <c:x val="-1.6433398950131232E-2"/>
                  <c:y val="-8.4790109021443214E-3"/>
                </c:manualLayout>
              </c:layout>
              <c:showLegendKey val="0"/>
              <c:showVal val="1"/>
              <c:showCatName val="0"/>
              <c:showSerName val="0"/>
              <c:showPercent val="0"/>
              <c:showBubbleSize val="0"/>
            </c:dLbl>
            <c:txPr>
              <a:bodyPr/>
              <a:lstStyle/>
              <a:p>
                <a:pPr>
                  <a:defRPr lang="ru-RU"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Лист1!$A$2:$A$7</c:f>
              <c:strCache>
                <c:ptCount val="6"/>
                <c:pt idx="0">
                  <c:v>2016</c:v>
                </c:pt>
                <c:pt idx="1">
                  <c:v>2017</c:v>
                </c:pt>
                <c:pt idx="2">
                  <c:v>2018</c:v>
                </c:pt>
                <c:pt idx="3">
                  <c:v>2019</c:v>
                </c:pt>
                <c:pt idx="4">
                  <c:v>2020</c:v>
                </c:pt>
                <c:pt idx="5">
                  <c:v>2021 (план)</c:v>
                </c:pt>
              </c:strCache>
            </c:strRef>
          </c:cat>
          <c:val>
            <c:numRef>
              <c:f>Лист1!$B$2:$B$7</c:f>
              <c:numCache>
                <c:formatCode>General</c:formatCode>
                <c:ptCount val="6"/>
                <c:pt idx="0">
                  <c:v>121.9</c:v>
                </c:pt>
                <c:pt idx="1">
                  <c:v>149.19999999999999</c:v>
                </c:pt>
                <c:pt idx="2">
                  <c:v>192.5</c:v>
                </c:pt>
                <c:pt idx="3">
                  <c:v>209.9</c:v>
                </c:pt>
                <c:pt idx="4">
                  <c:v>232.4</c:v>
                </c:pt>
                <c:pt idx="5">
                  <c:v>330.6</c:v>
                </c:pt>
              </c:numCache>
            </c:numRef>
          </c:val>
        </c:ser>
        <c:ser>
          <c:idx val="1"/>
          <c:order val="1"/>
          <c:tx>
            <c:strRef>
              <c:f>Лист1!$C$1</c:f>
              <c:strCache>
                <c:ptCount val="1"/>
                <c:pt idx="0">
                  <c:v>Охорона здоров'я</c:v>
                </c:pt>
              </c:strCache>
            </c:strRef>
          </c:tx>
          <c:spPr>
            <a:solidFill>
              <a:srgbClr val="FFFF00"/>
            </a:solidFill>
          </c:spPr>
          <c:invertIfNegative val="0"/>
          <c:dLbls>
            <c:dLbl>
              <c:idx val="0"/>
              <c:layout>
                <c:manualLayout>
                  <c:x val="2.9628171478565495E-3"/>
                  <c:y val="-6.4350647211884266E-3"/>
                </c:manualLayout>
              </c:layout>
              <c:showLegendKey val="0"/>
              <c:showVal val="1"/>
              <c:showCatName val="0"/>
              <c:showSerName val="0"/>
              <c:showPercent val="0"/>
              <c:showBubbleSize val="0"/>
            </c:dLbl>
            <c:dLbl>
              <c:idx val="1"/>
              <c:layout>
                <c:manualLayout>
                  <c:x val="9.073928258967745E-3"/>
                  <c:y val="3.3589555679984211E-3"/>
                </c:manualLayout>
              </c:layout>
              <c:showLegendKey val="0"/>
              <c:showVal val="1"/>
              <c:showCatName val="0"/>
              <c:showSerName val="0"/>
              <c:showPercent val="0"/>
              <c:showBubbleSize val="0"/>
            </c:dLbl>
            <c:dLbl>
              <c:idx val="2"/>
              <c:layout>
                <c:manualLayout>
                  <c:x val="6.2035214348207315E-3"/>
                  <c:y val="-9.3466465193249831E-4"/>
                </c:manualLayout>
              </c:layout>
              <c:showLegendKey val="0"/>
              <c:showVal val="1"/>
              <c:showCatName val="0"/>
              <c:showSerName val="0"/>
              <c:showPercent val="0"/>
              <c:showBubbleSize val="0"/>
            </c:dLbl>
            <c:dLbl>
              <c:idx val="3"/>
              <c:layout>
                <c:manualLayout>
                  <c:x val="2.7777777777778382E-3"/>
                  <c:y val="-2.723106977982137E-3"/>
                </c:manualLayout>
              </c:layout>
              <c:showLegendKey val="0"/>
              <c:showVal val="1"/>
              <c:showCatName val="0"/>
              <c:showSerName val="0"/>
              <c:showPercent val="0"/>
              <c:showBubbleSize val="0"/>
            </c:dLbl>
            <c:dLbl>
              <c:idx val="4"/>
              <c:layout>
                <c:manualLayout>
                  <c:x val="-5.0556649168853893E-3"/>
                  <c:y val="0"/>
                </c:manualLayout>
              </c:layout>
              <c:showLegendKey val="0"/>
              <c:showVal val="1"/>
              <c:showCatName val="0"/>
              <c:showSerName val="0"/>
              <c:showPercent val="0"/>
              <c:showBubbleSize val="0"/>
            </c:dLbl>
            <c:dLbl>
              <c:idx val="5"/>
              <c:layout>
                <c:manualLayout>
                  <c:x val="-1.0889107611548685E-3"/>
                  <c:y val="0"/>
                </c:manualLayout>
              </c:layout>
              <c:showLegendKey val="0"/>
              <c:showVal val="1"/>
              <c:showCatName val="0"/>
              <c:showSerName val="0"/>
              <c:showPercent val="0"/>
              <c:showBubbleSize val="0"/>
            </c:dLbl>
            <c:txPr>
              <a:bodyPr/>
              <a:lstStyle/>
              <a:p>
                <a:pPr>
                  <a:defRPr lang="ru-RU"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Лист1!$A$2:$A$7</c:f>
              <c:strCache>
                <c:ptCount val="6"/>
                <c:pt idx="0">
                  <c:v>2016</c:v>
                </c:pt>
                <c:pt idx="1">
                  <c:v>2017</c:v>
                </c:pt>
                <c:pt idx="2">
                  <c:v>2018</c:v>
                </c:pt>
                <c:pt idx="3">
                  <c:v>2019</c:v>
                </c:pt>
                <c:pt idx="4">
                  <c:v>2020</c:v>
                </c:pt>
                <c:pt idx="5">
                  <c:v>2021 (план)</c:v>
                </c:pt>
              </c:strCache>
            </c:strRef>
          </c:cat>
          <c:val>
            <c:numRef>
              <c:f>Лист1!$C$2:$C$7</c:f>
              <c:numCache>
                <c:formatCode>0.0</c:formatCode>
                <c:ptCount val="6"/>
                <c:pt idx="0">
                  <c:v>73.7</c:v>
                </c:pt>
                <c:pt idx="1">
                  <c:v>99.3</c:v>
                </c:pt>
                <c:pt idx="2">
                  <c:v>92.6</c:v>
                </c:pt>
                <c:pt idx="3">
                  <c:v>89.7</c:v>
                </c:pt>
                <c:pt idx="4">
                  <c:v>39.700000000000003</c:v>
                </c:pt>
                <c:pt idx="5">
                  <c:v>28.8</c:v>
                </c:pt>
              </c:numCache>
            </c:numRef>
          </c:val>
        </c:ser>
        <c:ser>
          <c:idx val="2"/>
          <c:order val="2"/>
          <c:tx>
            <c:strRef>
              <c:f>Лист1!$D$1</c:f>
              <c:strCache>
                <c:ptCount val="1"/>
                <c:pt idx="0">
                  <c:v>Костянтинівка</c:v>
                </c:pt>
              </c:strCache>
            </c:strRef>
          </c:tx>
          <c:invertIfNegative val="0"/>
          <c:dLbls>
            <c:dLbl>
              <c:idx val="0"/>
              <c:layout>
                <c:manualLayout>
                  <c:x val="-5.1851488936793734E-2"/>
                  <c:y val="-4.5583922873438924E-2"/>
                </c:manualLayout>
              </c:layout>
              <c:showLegendKey val="0"/>
              <c:showVal val="1"/>
              <c:showCatName val="0"/>
              <c:showSerName val="0"/>
              <c:showPercent val="0"/>
              <c:showBubbleSize val="0"/>
            </c:dLbl>
            <c:dLbl>
              <c:idx val="1"/>
              <c:layout>
                <c:manualLayout>
                  <c:x val="-5.1851488936793734E-2"/>
                  <c:y val="-5.0142315160781985E-2"/>
                </c:manualLayout>
              </c:layout>
              <c:showLegendKey val="0"/>
              <c:showVal val="1"/>
              <c:showCatName val="0"/>
              <c:showSerName val="0"/>
              <c:showPercent val="0"/>
              <c:showBubbleSize val="0"/>
            </c:dLbl>
            <c:dLbl>
              <c:idx val="2"/>
              <c:layout>
                <c:manualLayout>
                  <c:x val="-5.1851488936793734E-2"/>
                  <c:y val="-4.1025530586094365E-2"/>
                </c:manualLayout>
              </c:layout>
              <c:showLegendKey val="0"/>
              <c:showVal val="1"/>
              <c:showCatName val="0"/>
              <c:showSerName val="0"/>
              <c:showPercent val="0"/>
              <c:showBubbleSize val="0"/>
            </c:dLbl>
            <c:dLbl>
              <c:idx val="3"/>
              <c:layout>
                <c:manualLayout>
                  <c:x val="-5.1851488936793734E-2"/>
                  <c:y val="-3.646713829875061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Лист1!$A$2:$A$7</c:f>
              <c:strCache>
                <c:ptCount val="6"/>
                <c:pt idx="0">
                  <c:v>2016</c:v>
                </c:pt>
                <c:pt idx="1">
                  <c:v>2017</c:v>
                </c:pt>
                <c:pt idx="2">
                  <c:v>2018</c:v>
                </c:pt>
                <c:pt idx="3">
                  <c:v>2019</c:v>
                </c:pt>
                <c:pt idx="4">
                  <c:v>2020</c:v>
                </c:pt>
                <c:pt idx="5">
                  <c:v>2021 (план)</c:v>
                </c:pt>
              </c:strCache>
            </c:strRef>
          </c:cat>
          <c:val>
            <c:numRef>
              <c:f>Лист1!$D$2:$D$7</c:f>
            </c:numRef>
          </c:val>
        </c:ser>
        <c:ser>
          <c:idx val="3"/>
          <c:order val="3"/>
          <c:tx>
            <c:strRef>
              <c:f>Лист1!$E$1</c:f>
              <c:strCache>
                <c:ptCount val="1"/>
                <c:pt idx="0">
                  <c:v>Державне управління</c:v>
                </c:pt>
              </c:strCache>
            </c:strRef>
          </c:tx>
          <c:spPr>
            <a:solidFill>
              <a:schemeClr val="bg2">
                <a:lumMod val="50000"/>
              </a:schemeClr>
            </a:solidFill>
          </c:spPr>
          <c:invertIfNegative val="0"/>
          <c:dLbls>
            <c:dLbl>
              <c:idx val="0"/>
              <c:layout>
                <c:manualLayout>
                  <c:x val="5.0925337632081845E-17"/>
                  <c:y val="6.0766690820460642E-3"/>
                </c:manualLayout>
              </c:layout>
              <c:showLegendKey val="0"/>
              <c:showVal val="1"/>
              <c:showCatName val="0"/>
              <c:showSerName val="0"/>
              <c:showPercent val="0"/>
              <c:showBubbleSize val="0"/>
            </c:dLbl>
            <c:dLbl>
              <c:idx val="1"/>
              <c:layout>
                <c:manualLayout>
                  <c:x val="0"/>
                  <c:y val="4.1687938473699785E-3"/>
                </c:manualLayout>
              </c:layout>
              <c:showLegendKey val="0"/>
              <c:showVal val="1"/>
              <c:showCatName val="0"/>
              <c:showSerName val="0"/>
              <c:showPercent val="0"/>
              <c:showBubbleSize val="0"/>
            </c:dLbl>
            <c:dLbl>
              <c:idx val="2"/>
              <c:layout>
                <c:manualLayout>
                  <c:x val="5.5555555555555558E-3"/>
                  <c:y val="-2.8264055861137627E-3"/>
                </c:manualLayout>
              </c:layout>
              <c:showLegendKey val="0"/>
              <c:showVal val="1"/>
              <c:showCatName val="0"/>
              <c:showSerName val="0"/>
              <c:showPercent val="0"/>
              <c:showBubbleSize val="0"/>
            </c:dLbl>
            <c:txPr>
              <a:bodyPr/>
              <a:lstStyle/>
              <a:p>
                <a:pPr>
                  <a:defRPr lang="ru-RU"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Лист1!$A$2:$A$7</c:f>
              <c:strCache>
                <c:ptCount val="6"/>
                <c:pt idx="0">
                  <c:v>2016</c:v>
                </c:pt>
                <c:pt idx="1">
                  <c:v>2017</c:v>
                </c:pt>
                <c:pt idx="2">
                  <c:v>2018</c:v>
                </c:pt>
                <c:pt idx="3">
                  <c:v>2019</c:v>
                </c:pt>
                <c:pt idx="4">
                  <c:v>2020</c:v>
                </c:pt>
                <c:pt idx="5">
                  <c:v>2021 (план)</c:v>
                </c:pt>
              </c:strCache>
            </c:strRef>
          </c:cat>
          <c:val>
            <c:numRef>
              <c:f>Лист1!$E$2:$E$7</c:f>
              <c:numCache>
                <c:formatCode>General</c:formatCode>
                <c:ptCount val="6"/>
                <c:pt idx="0">
                  <c:v>20.6</c:v>
                </c:pt>
                <c:pt idx="1">
                  <c:v>36.6</c:v>
                </c:pt>
                <c:pt idx="2">
                  <c:v>55.8</c:v>
                </c:pt>
                <c:pt idx="3">
                  <c:v>71.599999999999994</c:v>
                </c:pt>
                <c:pt idx="4" formatCode="0.0">
                  <c:v>82.5</c:v>
                </c:pt>
                <c:pt idx="5">
                  <c:v>84.8</c:v>
                </c:pt>
              </c:numCache>
            </c:numRef>
          </c:val>
        </c:ser>
        <c:ser>
          <c:idx val="4"/>
          <c:order val="4"/>
          <c:tx>
            <c:strRef>
              <c:f>Лист1!$F$1</c:f>
              <c:strCache>
                <c:ptCount val="1"/>
                <c:pt idx="0">
                  <c:v>Видатки бюджету розвитку</c:v>
                </c:pt>
              </c:strCache>
            </c:strRef>
          </c:tx>
          <c:spPr>
            <a:solidFill>
              <a:srgbClr val="FF0000"/>
            </a:solidFill>
          </c:spPr>
          <c:invertIfNegative val="0"/>
          <c:dLbls>
            <c:dLbl>
              <c:idx val="0"/>
              <c:layout>
                <c:manualLayout>
                  <c:x val="4.7222222222222332E-2"/>
                  <c:y val="-6.4299183162609928E-3"/>
                </c:manualLayout>
              </c:layout>
              <c:showLegendKey val="0"/>
              <c:showVal val="1"/>
              <c:showCatName val="0"/>
              <c:showSerName val="0"/>
              <c:showPercent val="0"/>
              <c:showBubbleSize val="0"/>
            </c:dLbl>
            <c:dLbl>
              <c:idx val="1"/>
              <c:layout>
                <c:manualLayout>
                  <c:x val="1.6666666666666701E-2"/>
                  <c:y val="2.119701261486806E-3"/>
                </c:manualLayout>
              </c:layout>
              <c:showLegendKey val="0"/>
              <c:showVal val="1"/>
              <c:showCatName val="0"/>
              <c:showSerName val="0"/>
              <c:showPercent val="0"/>
              <c:showBubbleSize val="0"/>
            </c:dLbl>
            <c:txPr>
              <a:bodyPr/>
              <a:lstStyle/>
              <a:p>
                <a:pPr>
                  <a:defRPr lang="ru-RU"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Лист1!$A$2:$A$7</c:f>
              <c:strCache>
                <c:ptCount val="6"/>
                <c:pt idx="0">
                  <c:v>2016</c:v>
                </c:pt>
                <c:pt idx="1">
                  <c:v>2017</c:v>
                </c:pt>
                <c:pt idx="2">
                  <c:v>2018</c:v>
                </c:pt>
                <c:pt idx="3">
                  <c:v>2019</c:v>
                </c:pt>
                <c:pt idx="4">
                  <c:v>2020</c:v>
                </c:pt>
                <c:pt idx="5">
                  <c:v>2021 (план)</c:v>
                </c:pt>
              </c:strCache>
            </c:strRef>
          </c:cat>
          <c:val>
            <c:numRef>
              <c:f>Лист1!$F$2:$F$7</c:f>
              <c:numCache>
                <c:formatCode>General</c:formatCode>
                <c:ptCount val="6"/>
                <c:pt idx="0">
                  <c:v>31.9</c:v>
                </c:pt>
                <c:pt idx="1">
                  <c:v>16.3</c:v>
                </c:pt>
                <c:pt idx="2">
                  <c:v>56.5</c:v>
                </c:pt>
                <c:pt idx="3">
                  <c:v>72.7</c:v>
                </c:pt>
                <c:pt idx="4">
                  <c:v>96.2</c:v>
                </c:pt>
                <c:pt idx="5">
                  <c:v>36.300000000000004</c:v>
                </c:pt>
              </c:numCache>
            </c:numRef>
          </c:val>
        </c:ser>
        <c:dLbls>
          <c:showLegendKey val="0"/>
          <c:showVal val="0"/>
          <c:showCatName val="0"/>
          <c:showSerName val="0"/>
          <c:showPercent val="0"/>
          <c:showBubbleSize val="0"/>
        </c:dLbls>
        <c:gapWidth val="150"/>
        <c:overlap val="100"/>
        <c:axId val="112551808"/>
        <c:axId val="112553344"/>
      </c:barChart>
      <c:catAx>
        <c:axId val="112551808"/>
        <c:scaling>
          <c:orientation val="minMax"/>
        </c:scaling>
        <c:delete val="0"/>
        <c:axPos val="l"/>
        <c:numFmt formatCode="General" sourceLinked="1"/>
        <c:majorTickMark val="out"/>
        <c:minorTickMark val="none"/>
        <c:tickLblPos val="nextTo"/>
        <c:txPr>
          <a:bodyPr/>
          <a:lstStyle/>
          <a:p>
            <a:pPr>
              <a:defRPr lang="ru-RU" sz="1050" b="1">
                <a:latin typeface="Times New Roman" pitchFamily="18" charset="0"/>
                <a:cs typeface="Times New Roman" pitchFamily="18" charset="0"/>
              </a:defRPr>
            </a:pPr>
            <a:endParaRPr lang="ru-RU"/>
          </a:p>
        </c:txPr>
        <c:crossAx val="112553344"/>
        <c:crosses val="autoZero"/>
        <c:auto val="1"/>
        <c:lblAlgn val="ctr"/>
        <c:lblOffset val="100"/>
        <c:noMultiLvlLbl val="0"/>
      </c:catAx>
      <c:valAx>
        <c:axId val="112553344"/>
        <c:scaling>
          <c:orientation val="minMax"/>
        </c:scaling>
        <c:delete val="1"/>
        <c:axPos val="b"/>
        <c:numFmt formatCode="General" sourceLinked="1"/>
        <c:majorTickMark val="out"/>
        <c:minorTickMark val="none"/>
        <c:tickLblPos val="nextTo"/>
        <c:crossAx val="112551808"/>
        <c:crosses val="autoZero"/>
        <c:crossBetween val="between"/>
      </c:valAx>
    </c:plotArea>
    <c:legend>
      <c:legendPos val="r"/>
      <c:layout>
        <c:manualLayout>
          <c:xMode val="edge"/>
          <c:yMode val="edge"/>
          <c:x val="0"/>
          <c:y val="0.80979257929580761"/>
          <c:w val="0.9994743000874885"/>
          <c:h val="0.19020742070419291"/>
        </c:manualLayout>
      </c:layout>
      <c:overlay val="0"/>
      <c:txPr>
        <a:bodyPr/>
        <a:lstStyle/>
        <a:p>
          <a:pPr>
            <a:defRPr lang="ru-RU" sz="1050" b="1">
              <a:latin typeface="Times New Roman" pitchFamily="18" charset="0"/>
              <a:cs typeface="Times New Roman" pitchFamily="18" charset="0"/>
            </a:defRPr>
          </a:pPr>
          <a:endParaRPr lang="ru-RU"/>
        </a:p>
      </c:txPr>
    </c:legend>
    <c:plotVisOnly val="1"/>
    <c:dispBlanksAs val="gap"/>
    <c:showDLblsOverMax val="0"/>
  </c:chart>
  <c:txPr>
    <a:bodyPr/>
    <a:lstStyle/>
    <a:p>
      <a:pPr>
        <a:defRPr sz="1800"/>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1"/>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7.0162721279412227E-2"/>
          <c:y val="9.2909278311019708E-2"/>
          <c:w val="0.84128388156211653"/>
          <c:h val="0.82353814439673556"/>
        </c:manualLayout>
      </c:layout>
      <c:pie3DChart>
        <c:varyColors val="1"/>
        <c:ser>
          <c:idx val="0"/>
          <c:order val="0"/>
          <c:tx>
            <c:strRef>
              <c:f>Лист1!$B$1</c:f>
              <c:strCache>
                <c:ptCount val="1"/>
                <c:pt idx="0">
                  <c:v>Столбец1</c:v>
                </c:pt>
              </c:strCache>
            </c:strRef>
          </c:tx>
          <c:dPt>
            <c:idx val="0"/>
            <c:bubble3D val="0"/>
            <c:spPr>
              <a:solidFill>
                <a:srgbClr val="00B050"/>
              </a:solidFill>
            </c:spPr>
          </c:dPt>
          <c:dPt>
            <c:idx val="1"/>
            <c:bubble3D val="0"/>
            <c:spPr>
              <a:solidFill>
                <a:srgbClr val="D60093"/>
              </a:solidFill>
            </c:spPr>
          </c:dPt>
          <c:dPt>
            <c:idx val="2"/>
            <c:bubble3D val="0"/>
            <c:spPr>
              <a:solidFill>
                <a:schemeClr val="accent1"/>
              </a:solidFill>
            </c:spPr>
          </c:dPt>
          <c:dPt>
            <c:idx val="3"/>
            <c:bubble3D val="0"/>
            <c:spPr>
              <a:solidFill>
                <a:srgbClr val="7030A0"/>
              </a:solidFill>
            </c:spPr>
          </c:dPt>
          <c:dPt>
            <c:idx val="4"/>
            <c:bubble3D val="0"/>
            <c:spPr>
              <a:solidFill>
                <a:srgbClr val="FF0000"/>
              </a:solidFill>
            </c:spPr>
          </c:dPt>
          <c:dPt>
            <c:idx val="5"/>
            <c:bubble3D val="0"/>
            <c:spPr>
              <a:solidFill>
                <a:srgbClr val="FFC000"/>
              </a:solidFill>
            </c:spPr>
          </c:dPt>
          <c:dLbls>
            <c:dLbl>
              <c:idx val="0"/>
              <c:layout>
                <c:manualLayout>
                  <c:x val="9.0106528352051768E-2"/>
                  <c:y val="3.1366782640542025E-2"/>
                </c:manualLayout>
              </c:layout>
              <c:tx>
                <c:rich>
                  <a:bodyPr/>
                  <a:lstStyle/>
                  <a:p>
                    <a:r>
                      <a:rPr lang="uk-UA" sz="1100" dirty="0" smtClean="0"/>
                      <a:t> Костянтинівка 93,3 %</a:t>
                    </a:r>
                    <a:endParaRPr lang="uk-UA" sz="1100" dirty="0"/>
                  </a:p>
                </c:rich>
              </c:tx>
              <c:showLegendKey val="0"/>
              <c:showVal val="1"/>
              <c:showCatName val="1"/>
              <c:showSerName val="0"/>
              <c:showPercent val="0"/>
              <c:showBubbleSize val="0"/>
            </c:dLbl>
            <c:dLbl>
              <c:idx val="1"/>
              <c:layout>
                <c:manualLayout>
                  <c:x val="-0.16261834472332606"/>
                  <c:y val="4.7037867379445923E-2"/>
                </c:manualLayout>
              </c:layout>
              <c:tx>
                <c:rich>
                  <a:bodyPr/>
                  <a:lstStyle/>
                  <a:p>
                    <a:r>
                      <a:rPr lang="uk-UA" sz="1100" dirty="0" smtClean="0"/>
                      <a:t>Іванопільський               2,6 %</a:t>
                    </a:r>
                    <a:endParaRPr lang="uk-UA" sz="1100" dirty="0"/>
                  </a:p>
                </c:rich>
              </c:tx>
              <c:showLegendKey val="0"/>
              <c:showVal val="1"/>
              <c:showCatName val="1"/>
              <c:showSerName val="0"/>
              <c:showPercent val="0"/>
              <c:showBubbleSize val="0"/>
            </c:dLbl>
            <c:dLbl>
              <c:idx val="2"/>
              <c:layout>
                <c:manualLayout>
                  <c:x val="-0.17239895023512194"/>
                  <c:y val="-5.2747112684150145E-2"/>
                </c:manualLayout>
              </c:layout>
              <c:tx>
                <c:rich>
                  <a:bodyPr/>
                  <a:lstStyle/>
                  <a:p>
                    <a:r>
                      <a:rPr lang="uk-UA" sz="1100" dirty="0" err="1" smtClean="0"/>
                      <a:t>Предтечинський</a:t>
                    </a:r>
                    <a:r>
                      <a:rPr lang="uk-UA" sz="1100" baseline="0" dirty="0" smtClean="0"/>
                      <a:t>            </a:t>
                    </a:r>
                    <a:r>
                      <a:rPr lang="uk-UA" sz="1100" dirty="0" smtClean="0"/>
                      <a:t>0,5 %</a:t>
                    </a:r>
                    <a:endParaRPr lang="uk-UA" sz="1100" dirty="0"/>
                  </a:p>
                </c:rich>
              </c:tx>
              <c:showLegendKey val="0"/>
              <c:showVal val="1"/>
              <c:showCatName val="1"/>
              <c:showSerName val="0"/>
              <c:showPercent val="0"/>
              <c:showBubbleSize val="0"/>
            </c:dLbl>
            <c:dLbl>
              <c:idx val="3"/>
              <c:layout>
                <c:manualLayout>
                  <c:x val="-0.18675055582318306"/>
                  <c:y val="-0.14481871452115044"/>
                </c:manualLayout>
              </c:layout>
              <c:tx>
                <c:rich>
                  <a:bodyPr/>
                  <a:lstStyle/>
                  <a:p>
                    <a:r>
                      <a:rPr lang="uk-UA" sz="1100" dirty="0" smtClean="0"/>
                      <a:t>Миколаївський            0,5 %</a:t>
                    </a:r>
                    <a:endParaRPr lang="uk-UA" sz="1100" dirty="0"/>
                  </a:p>
                </c:rich>
              </c:tx>
              <c:showLegendKey val="0"/>
              <c:showVal val="1"/>
              <c:showCatName val="1"/>
              <c:showSerName val="0"/>
              <c:showPercent val="0"/>
              <c:showBubbleSize val="0"/>
            </c:dLbl>
            <c:dLbl>
              <c:idx val="4"/>
              <c:layout>
                <c:manualLayout>
                  <c:x val="-1.6913870817328269E-2"/>
                  <c:y val="-0.18133139224764191"/>
                </c:manualLayout>
              </c:layout>
              <c:tx>
                <c:rich>
                  <a:bodyPr/>
                  <a:lstStyle/>
                  <a:p>
                    <a:r>
                      <a:rPr lang="uk-UA" sz="1100" dirty="0" err="1" smtClean="0"/>
                      <a:t>Марківський</a:t>
                    </a:r>
                    <a:r>
                      <a:rPr lang="uk-UA" sz="1100" dirty="0" smtClean="0"/>
                      <a:t>             0,6 %</a:t>
                    </a:r>
                    <a:endParaRPr lang="uk-UA" sz="1100" dirty="0"/>
                  </a:p>
                </c:rich>
              </c:tx>
              <c:showLegendKey val="0"/>
              <c:showVal val="1"/>
              <c:showCatName val="1"/>
              <c:showSerName val="0"/>
              <c:showPercent val="0"/>
              <c:showBubbleSize val="0"/>
            </c:dLbl>
            <c:dLbl>
              <c:idx val="5"/>
              <c:layout>
                <c:manualLayout>
                  <c:x val="0.16150464690384886"/>
                  <c:y val="-0.15019365424116421"/>
                </c:manualLayout>
              </c:layout>
              <c:tx>
                <c:rich>
                  <a:bodyPr/>
                  <a:lstStyle/>
                  <a:p>
                    <a:r>
                      <a:rPr lang="uk-UA" sz="1100" dirty="0" err="1" smtClean="0"/>
                      <a:t>Віролюбівський</a:t>
                    </a:r>
                    <a:r>
                      <a:rPr lang="uk-UA" sz="1100" dirty="0" smtClean="0"/>
                      <a:t>  0,5 %</a:t>
                    </a:r>
                    <a:endParaRPr lang="uk-UA" sz="1100" dirty="0"/>
                  </a:p>
                </c:rich>
              </c:tx>
              <c:showLegendKey val="0"/>
              <c:showVal val="1"/>
              <c:showCatName val="1"/>
              <c:showSerName val="0"/>
              <c:showPercent val="0"/>
              <c:showBubbleSize val="0"/>
            </c:dLbl>
            <c:dLbl>
              <c:idx val="6"/>
              <c:layout>
                <c:manualLayout>
                  <c:x val="0.2638879290415504"/>
                  <c:y val="-7.566453498448325E-2"/>
                </c:manualLayout>
              </c:layout>
              <c:tx>
                <c:rich>
                  <a:bodyPr/>
                  <a:lstStyle/>
                  <a:p>
                    <a:r>
                      <a:rPr lang="uk-UA" sz="1100" dirty="0" err="1" smtClean="0"/>
                      <a:t>Білокузьми</a:t>
                    </a:r>
                    <a:endParaRPr lang="uk-UA" sz="1100" dirty="0" smtClean="0"/>
                  </a:p>
                  <a:p>
                    <a:r>
                      <a:rPr lang="uk-UA" sz="1100" dirty="0" err="1" smtClean="0"/>
                      <a:t>нівський</a:t>
                    </a:r>
                    <a:r>
                      <a:rPr lang="uk-UA" sz="1100" baseline="0" dirty="0" smtClean="0"/>
                      <a:t> </a:t>
                    </a:r>
                    <a:r>
                      <a:rPr lang="uk-UA" sz="1100" dirty="0" smtClean="0"/>
                      <a:t> 0,7 %</a:t>
                    </a:r>
                    <a:endParaRPr lang="uk-UA" sz="1100" dirty="0"/>
                  </a:p>
                </c:rich>
              </c:tx>
              <c:showLegendKey val="0"/>
              <c:showVal val="1"/>
              <c:showCatName val="1"/>
              <c:showSerName val="0"/>
              <c:showPercent val="0"/>
              <c:showBubbleSize val="0"/>
            </c:dLbl>
            <c:dLbl>
              <c:idx val="7"/>
              <c:layout>
                <c:manualLayout>
                  <c:x val="0.30832632848998665"/>
                  <c:y val="1.0890655800864561E-2"/>
                </c:manualLayout>
              </c:layout>
              <c:tx>
                <c:rich>
                  <a:bodyPr/>
                  <a:lstStyle/>
                  <a:p>
                    <a:r>
                      <a:rPr lang="uk-UA" sz="1000" dirty="0" err="1" smtClean="0"/>
                      <a:t>Новодмитрівський</a:t>
                    </a:r>
                    <a:r>
                      <a:rPr lang="uk-UA" sz="1000" dirty="0" smtClean="0"/>
                      <a:t>  </a:t>
                    </a:r>
                    <a:r>
                      <a:rPr lang="uk-UA" sz="1100" dirty="0" smtClean="0"/>
                      <a:t>1,3 %</a:t>
                    </a:r>
                    <a:endParaRPr lang="uk-UA" sz="1100" dirty="0"/>
                  </a:p>
                </c:rich>
              </c:tx>
              <c:showLegendKey val="0"/>
              <c:showVal val="1"/>
              <c:showCatName val="1"/>
              <c:showSerName val="0"/>
              <c:showPercent val="0"/>
              <c:showBubbleSize val="0"/>
            </c:dLbl>
            <c:txPr>
              <a:bodyPr/>
              <a:lstStyle/>
              <a:p>
                <a:pPr>
                  <a:defRPr lang="ru-RU" sz="1100" b="1">
                    <a:latin typeface="Times New Roman" pitchFamily="18" charset="0"/>
                    <a:cs typeface="Times New Roman" pitchFamily="18" charset="0"/>
                  </a:defRPr>
                </a:pPr>
                <a:endParaRPr lang="ru-RU"/>
              </a:p>
            </c:txPr>
            <c:showLegendKey val="0"/>
            <c:showVal val="1"/>
            <c:showCatName val="1"/>
            <c:showSerName val="0"/>
            <c:showPercent val="0"/>
            <c:showBubbleSize val="0"/>
            <c:showLeaderLines val="0"/>
          </c:dLbls>
          <c:cat>
            <c:strRef>
              <c:f>Лист1!$A$2:$A$9</c:f>
              <c:strCache>
                <c:ptCount val="8"/>
                <c:pt idx="0">
                  <c:v>Костянтинівка</c:v>
                </c:pt>
                <c:pt idx="1">
                  <c:v>Іванопільський</c:v>
                </c:pt>
                <c:pt idx="2">
                  <c:v>Предтечине</c:v>
                </c:pt>
                <c:pt idx="3">
                  <c:v>Миколаївка</c:v>
                </c:pt>
                <c:pt idx="4">
                  <c:v>Маркове</c:v>
                </c:pt>
                <c:pt idx="5">
                  <c:v>Віролюбівка</c:v>
                </c:pt>
                <c:pt idx="6">
                  <c:v>Білокузьминівка</c:v>
                </c:pt>
                <c:pt idx="7">
                  <c:v>Новодмитрівка</c:v>
                </c:pt>
              </c:strCache>
            </c:strRef>
          </c:cat>
          <c:val>
            <c:numRef>
              <c:f>Лист1!$B$2:$B$9</c:f>
              <c:numCache>
                <c:formatCode>General</c:formatCode>
                <c:ptCount val="8"/>
                <c:pt idx="0">
                  <c:v>93.3</c:v>
                </c:pt>
                <c:pt idx="1">
                  <c:v>2.6</c:v>
                </c:pt>
                <c:pt idx="2">
                  <c:v>0.5</c:v>
                </c:pt>
                <c:pt idx="3">
                  <c:v>0.5</c:v>
                </c:pt>
                <c:pt idx="4">
                  <c:v>0.60000000000000064</c:v>
                </c:pt>
                <c:pt idx="5">
                  <c:v>0.5</c:v>
                </c:pt>
                <c:pt idx="6">
                  <c:v>0.70000000000000062</c:v>
                </c:pt>
                <c:pt idx="7">
                  <c:v>1.3</c:v>
                </c:pt>
              </c:numCache>
            </c:numRef>
          </c:val>
        </c:ser>
        <c:ser>
          <c:idx val="2"/>
          <c:order val="2"/>
          <c:tx>
            <c:strRef>
              <c:f>Лист1!$D$1</c:f>
              <c:strCache>
                <c:ptCount val="1"/>
                <c:pt idx="0">
                  <c:v>Ряд 3</c:v>
                </c:pt>
              </c:strCache>
            </c:strRef>
          </c:tx>
          <c:cat>
            <c:strRef>
              <c:f>Лист1!$A$2:$A$9</c:f>
              <c:strCache>
                <c:ptCount val="8"/>
                <c:pt idx="0">
                  <c:v>Костянтинівка</c:v>
                </c:pt>
                <c:pt idx="1">
                  <c:v>Іванопільський</c:v>
                </c:pt>
                <c:pt idx="2">
                  <c:v>Предтечине</c:v>
                </c:pt>
                <c:pt idx="3">
                  <c:v>Миколаївка</c:v>
                </c:pt>
                <c:pt idx="4">
                  <c:v>Маркове</c:v>
                </c:pt>
                <c:pt idx="5">
                  <c:v>Віролюбівка</c:v>
                </c:pt>
                <c:pt idx="6">
                  <c:v>Білокузьминівка</c:v>
                </c:pt>
                <c:pt idx="7">
                  <c:v>Новодмитрівка</c:v>
                </c:pt>
              </c:strCache>
            </c:strRef>
          </c:cat>
          <c:val>
            <c:numRef>
              <c:f>Лист1!$D$2:$D$9</c:f>
            </c:numRef>
          </c:val>
        </c:ser>
        <c:ser>
          <c:idx val="1"/>
          <c:order val="1"/>
          <c:tx>
            <c:strRef>
              <c:f>Лист1!$C$1</c:f>
              <c:strCache>
                <c:ptCount val="1"/>
                <c:pt idx="0">
                  <c:v>Ряд 2</c:v>
                </c:pt>
              </c:strCache>
            </c:strRef>
          </c:tx>
          <c:cat>
            <c:strRef>
              <c:f>Лист1!$A$2:$A$9</c:f>
              <c:strCache>
                <c:ptCount val="8"/>
                <c:pt idx="0">
                  <c:v>Костянтинівка</c:v>
                </c:pt>
                <c:pt idx="1">
                  <c:v>Іванопільський</c:v>
                </c:pt>
                <c:pt idx="2">
                  <c:v>Предтечине</c:v>
                </c:pt>
                <c:pt idx="3">
                  <c:v>Миколаївка</c:v>
                </c:pt>
                <c:pt idx="4">
                  <c:v>Маркове</c:v>
                </c:pt>
                <c:pt idx="5">
                  <c:v>Віролюбівка</c:v>
                </c:pt>
                <c:pt idx="6">
                  <c:v>Білокузьминівка</c:v>
                </c:pt>
                <c:pt idx="7">
                  <c:v>Новодмитрівка</c:v>
                </c:pt>
              </c:strCache>
            </c:strRef>
          </c:cat>
          <c:val>
            <c:numRef>
              <c:f>Лист1!$C$2:$C$9</c:f>
            </c:numRef>
          </c:val>
        </c:ser>
        <c:dLbls>
          <c:showLegendKey val="0"/>
          <c:showVal val="0"/>
          <c:showCatName val="0"/>
          <c:showSerName val="0"/>
          <c:showPercent val="0"/>
          <c:showBubbleSize val="0"/>
          <c:showLeaderLines val="0"/>
        </c:dLbls>
      </c:pie3DChart>
    </c:plotArea>
    <c:plotVisOnly val="1"/>
    <c:dispBlanksAs val="zero"/>
    <c:showDLblsOverMax val="0"/>
  </c:chart>
  <c:txPr>
    <a:bodyPr/>
    <a:lstStyle/>
    <a:p>
      <a:pPr>
        <a:defRPr sz="1800"/>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solidFill>
          <a:schemeClr val="tx1"/>
        </a:solidFill>
      </c:spPr>
    </c:floor>
    <c:sideWall>
      <c:thickness val="0"/>
    </c:sideWall>
    <c:backWall>
      <c:thickness val="0"/>
    </c:backWall>
    <c:plotArea>
      <c:layout/>
      <c:bar3DChart>
        <c:barDir val="col"/>
        <c:grouping val="clustered"/>
        <c:varyColors val="0"/>
        <c:ser>
          <c:idx val="0"/>
          <c:order val="0"/>
          <c:tx>
            <c:strRef>
              <c:f>Лист1!$B$1</c:f>
              <c:strCache>
                <c:ptCount val="1"/>
                <c:pt idx="0">
                  <c:v>Столбец1</c:v>
                </c:pt>
              </c:strCache>
            </c:strRef>
          </c:tx>
          <c:spPr>
            <a:solidFill>
              <a:schemeClr val="accent4">
                <a:lumMod val="60000"/>
                <a:lumOff val="40000"/>
              </a:schemeClr>
            </a:solidFill>
          </c:spPr>
          <c:invertIfNegative val="0"/>
          <c:dPt>
            <c:idx val="0"/>
            <c:invertIfNegative val="0"/>
            <c:bubble3D val="0"/>
            <c:spPr>
              <a:solidFill>
                <a:srgbClr val="7030A0"/>
              </a:solidFill>
            </c:spPr>
          </c:dPt>
          <c:dPt>
            <c:idx val="1"/>
            <c:invertIfNegative val="0"/>
            <c:bubble3D val="0"/>
            <c:spPr>
              <a:solidFill>
                <a:srgbClr val="FF0000"/>
              </a:solidFill>
            </c:spPr>
          </c:dPt>
          <c:dPt>
            <c:idx val="2"/>
            <c:invertIfNegative val="0"/>
            <c:bubble3D val="0"/>
            <c:spPr>
              <a:solidFill>
                <a:schemeClr val="tx1">
                  <a:lumMod val="65000"/>
                  <a:lumOff val="35000"/>
                </a:schemeClr>
              </a:solidFill>
            </c:spPr>
          </c:dPt>
          <c:dPt>
            <c:idx val="3"/>
            <c:invertIfNegative val="0"/>
            <c:bubble3D val="0"/>
            <c:spPr>
              <a:solidFill>
                <a:srgbClr val="FFFF00"/>
              </a:solidFill>
            </c:spPr>
          </c:dPt>
          <c:dLbls>
            <c:dLbl>
              <c:idx val="0"/>
              <c:layout>
                <c:manualLayout>
                  <c:x val="2.5599912561628899E-2"/>
                  <c:y val="-3.3494292580659626E-2"/>
                </c:manualLayout>
              </c:layout>
              <c:tx>
                <c:rich>
                  <a:bodyPr/>
                  <a:lstStyle/>
                  <a:p>
                    <a:r>
                      <a:rPr lang="en-US" sz="1200" dirty="0" smtClean="0"/>
                      <a:t>100</a:t>
                    </a:r>
                    <a:r>
                      <a:rPr lang="uk-UA" sz="1200" dirty="0" smtClean="0"/>
                      <a:t>,0</a:t>
                    </a:r>
                    <a:endParaRPr lang="en-US" sz="1200" dirty="0"/>
                  </a:p>
                </c:rich>
              </c:tx>
              <c:showLegendKey val="0"/>
              <c:showVal val="1"/>
              <c:showCatName val="0"/>
              <c:showSerName val="0"/>
              <c:showPercent val="0"/>
              <c:showBubbleSize val="0"/>
            </c:dLbl>
            <c:dLbl>
              <c:idx val="1"/>
              <c:layout>
                <c:manualLayout>
                  <c:x val="2.7022129926163412E-2"/>
                  <c:y val="-3.3494292580659626E-2"/>
                </c:manualLayout>
              </c:layout>
              <c:showLegendKey val="0"/>
              <c:showVal val="1"/>
              <c:showCatName val="0"/>
              <c:showSerName val="0"/>
              <c:showPercent val="0"/>
              <c:showBubbleSize val="0"/>
            </c:dLbl>
            <c:dLbl>
              <c:idx val="2"/>
              <c:layout>
                <c:manualLayout>
                  <c:x val="2.5599912561628857E-2"/>
                  <c:y val="-2.0611872357328812E-2"/>
                </c:manualLayout>
              </c:layout>
              <c:tx>
                <c:rich>
                  <a:bodyPr/>
                  <a:lstStyle/>
                  <a:p>
                    <a:r>
                      <a:rPr lang="en-US" sz="1200" dirty="0" smtClean="0"/>
                      <a:t>97</a:t>
                    </a:r>
                    <a:r>
                      <a:rPr lang="uk-UA" sz="1200" dirty="0" smtClean="0"/>
                      <a:t>,0</a:t>
                    </a:r>
                    <a:endParaRPr lang="en-US" sz="1200" dirty="0"/>
                  </a:p>
                </c:rich>
              </c:tx>
              <c:showLegendKey val="0"/>
              <c:showVal val="1"/>
              <c:showCatName val="0"/>
              <c:showSerName val="0"/>
              <c:showPercent val="0"/>
              <c:showBubbleSize val="0"/>
            </c:dLbl>
            <c:dLbl>
              <c:idx val="3"/>
              <c:layout>
                <c:manualLayout>
                  <c:x val="2.417769519709359E-2"/>
                  <c:y val="-1.8035388312662826E-2"/>
                </c:manualLayout>
              </c:layout>
              <c:showLegendKey val="0"/>
              <c:showVal val="1"/>
              <c:showCatName val="0"/>
              <c:showSerName val="0"/>
              <c:showPercent val="0"/>
              <c:showBubbleSize val="0"/>
            </c:dLbl>
            <c:dLbl>
              <c:idx val="4"/>
              <c:layout>
                <c:manualLayout>
                  <c:x val="2.1333260468024445E-2"/>
                  <c:y val="-1.5458904267996541E-2"/>
                </c:manualLayout>
              </c:layout>
              <c:showLegendKey val="0"/>
              <c:showVal val="1"/>
              <c:showCatName val="0"/>
              <c:showSerName val="0"/>
              <c:showPercent val="0"/>
              <c:showBubbleSize val="0"/>
            </c:dLbl>
            <c:txPr>
              <a:bodyPr/>
              <a:lstStyle/>
              <a:p>
                <a:pPr>
                  <a:defRPr lang="ru-RU"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Лист1!$A$2:$A$6</c:f>
              <c:strCache>
                <c:ptCount val="5"/>
                <c:pt idx="0">
                  <c:v>2016</c:v>
                </c:pt>
                <c:pt idx="1">
                  <c:v>2017</c:v>
                </c:pt>
                <c:pt idx="2">
                  <c:v>2018</c:v>
                </c:pt>
                <c:pt idx="3">
                  <c:v>2019</c:v>
                </c:pt>
                <c:pt idx="4">
                  <c:v>2020</c:v>
                </c:pt>
              </c:strCache>
            </c:strRef>
          </c:cat>
          <c:val>
            <c:numRef>
              <c:f>Лист1!$B$2:$B$6</c:f>
              <c:numCache>
                <c:formatCode>General</c:formatCode>
                <c:ptCount val="5"/>
                <c:pt idx="0">
                  <c:v>100</c:v>
                </c:pt>
                <c:pt idx="1">
                  <c:v>98.5</c:v>
                </c:pt>
                <c:pt idx="2">
                  <c:v>97</c:v>
                </c:pt>
                <c:pt idx="3">
                  <c:v>95.9</c:v>
                </c:pt>
                <c:pt idx="4">
                  <c:v>94.2</c:v>
                </c:pt>
              </c:numCache>
            </c:numRef>
          </c:val>
        </c:ser>
        <c:ser>
          <c:idx val="1"/>
          <c:order val="1"/>
          <c:tx>
            <c:strRef>
              <c:f>Лист1!$C$1</c:f>
              <c:strCache>
                <c:ptCount val="1"/>
                <c:pt idx="0">
                  <c:v>жінки</c:v>
                </c:pt>
              </c:strCache>
            </c:strRef>
          </c:tx>
          <c:spPr>
            <a:solidFill>
              <a:srgbClr val="FFFF00"/>
            </a:solidFill>
          </c:spPr>
          <c:invertIfNegative val="0"/>
          <c:dLbls>
            <c:txPr>
              <a:bodyPr/>
              <a:lstStyle/>
              <a:p>
                <a:pPr>
                  <a:defRPr lang="ru-RU"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Лист1!$A$2:$A$6</c:f>
              <c:strCache>
                <c:ptCount val="5"/>
                <c:pt idx="0">
                  <c:v>2016</c:v>
                </c:pt>
                <c:pt idx="1">
                  <c:v>2017</c:v>
                </c:pt>
                <c:pt idx="2">
                  <c:v>2018</c:v>
                </c:pt>
                <c:pt idx="3">
                  <c:v>2019</c:v>
                </c:pt>
                <c:pt idx="4">
                  <c:v>2020</c:v>
                </c:pt>
              </c:strCache>
            </c:strRef>
          </c:cat>
          <c:val>
            <c:numRef>
              <c:f>Лист1!$C$2:$C$6</c:f>
              <c:numCache>
                <c:formatCode>General</c:formatCode>
                <c:ptCount val="5"/>
              </c:numCache>
            </c:numRef>
          </c:val>
        </c:ser>
        <c:ser>
          <c:idx val="2"/>
          <c:order val="2"/>
          <c:tx>
            <c:strRef>
              <c:f>Лист1!$D$1</c:f>
              <c:strCache>
                <c:ptCount val="1"/>
                <c:pt idx="0">
                  <c:v>Ряд 3</c:v>
                </c:pt>
              </c:strCache>
            </c:strRef>
          </c:tx>
          <c:invertIfNegative val="0"/>
          <c:cat>
            <c:strRef>
              <c:f>Лист1!$A$2:$A$6</c:f>
              <c:strCache>
                <c:ptCount val="5"/>
                <c:pt idx="0">
                  <c:v>2016</c:v>
                </c:pt>
                <c:pt idx="1">
                  <c:v>2017</c:v>
                </c:pt>
                <c:pt idx="2">
                  <c:v>2018</c:v>
                </c:pt>
                <c:pt idx="3">
                  <c:v>2019</c:v>
                </c:pt>
                <c:pt idx="4">
                  <c:v>2020</c:v>
                </c:pt>
              </c:strCache>
            </c:strRef>
          </c:cat>
          <c:val>
            <c:numRef>
              <c:f>Лист1!$D$2:$D$6</c:f>
            </c:numRef>
          </c:val>
          <c:shape val="box"/>
        </c:ser>
        <c:dLbls>
          <c:showLegendKey val="0"/>
          <c:showVal val="0"/>
          <c:showCatName val="0"/>
          <c:showSerName val="0"/>
          <c:showPercent val="0"/>
          <c:showBubbleSize val="0"/>
        </c:dLbls>
        <c:gapWidth val="150"/>
        <c:shape val="cylinder"/>
        <c:axId val="104279040"/>
        <c:axId val="104297216"/>
        <c:axId val="0"/>
      </c:bar3DChart>
      <c:catAx>
        <c:axId val="104279040"/>
        <c:scaling>
          <c:orientation val="minMax"/>
        </c:scaling>
        <c:delete val="0"/>
        <c:axPos val="b"/>
        <c:majorTickMark val="out"/>
        <c:minorTickMark val="none"/>
        <c:tickLblPos val="nextTo"/>
        <c:txPr>
          <a:bodyPr/>
          <a:lstStyle/>
          <a:p>
            <a:pPr>
              <a:defRPr lang="ru-RU" sz="1200" b="1">
                <a:latin typeface="Times New Roman" pitchFamily="18" charset="0"/>
                <a:cs typeface="Times New Roman" pitchFamily="18" charset="0"/>
              </a:defRPr>
            </a:pPr>
            <a:endParaRPr lang="ru-RU"/>
          </a:p>
        </c:txPr>
        <c:crossAx val="104297216"/>
        <c:crosses val="autoZero"/>
        <c:auto val="1"/>
        <c:lblAlgn val="ctr"/>
        <c:lblOffset val="100"/>
        <c:noMultiLvlLbl val="0"/>
      </c:catAx>
      <c:valAx>
        <c:axId val="104297216"/>
        <c:scaling>
          <c:orientation val="minMax"/>
        </c:scaling>
        <c:delete val="1"/>
        <c:axPos val="l"/>
        <c:numFmt formatCode="General" sourceLinked="1"/>
        <c:majorTickMark val="out"/>
        <c:minorTickMark val="none"/>
        <c:tickLblPos val="nextTo"/>
        <c:crossAx val="104279040"/>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1"/>
    </c:view3D>
    <c:floor>
      <c:thickness val="0"/>
      <c:spPr>
        <a:solidFill>
          <a:srgbClr val="FFFF00"/>
        </a:solidFill>
      </c:spPr>
    </c:floor>
    <c:sideWall>
      <c:thickness val="0"/>
      <c:spPr>
        <a:noFill/>
        <a:ln w="25400">
          <a:noFill/>
        </a:ln>
      </c:spPr>
    </c:sideWall>
    <c:backWall>
      <c:thickness val="0"/>
      <c:spPr>
        <a:noFill/>
        <a:ln w="25400">
          <a:noFill/>
        </a:ln>
      </c:spPr>
    </c:backWall>
    <c:plotArea>
      <c:layout>
        <c:manualLayout>
          <c:layoutTarget val="inner"/>
          <c:xMode val="edge"/>
          <c:yMode val="edge"/>
          <c:x val="8.7398715683415132E-2"/>
          <c:y val="0.10143630498953859"/>
          <c:w val="0.82935237670454587"/>
          <c:h val="0.79712739002092259"/>
        </c:manualLayout>
      </c:layout>
      <c:pie3DChart>
        <c:varyColors val="1"/>
        <c:ser>
          <c:idx val="0"/>
          <c:order val="0"/>
          <c:tx>
            <c:strRef>
              <c:f>Лист1!$B$1</c:f>
              <c:strCache>
                <c:ptCount val="1"/>
                <c:pt idx="0">
                  <c:v>Столбец1</c:v>
                </c:pt>
              </c:strCache>
            </c:strRef>
          </c:tx>
          <c:explosion val="25"/>
          <c:dPt>
            <c:idx val="0"/>
            <c:bubble3D val="0"/>
            <c:spPr>
              <a:solidFill>
                <a:srgbClr val="00B050"/>
              </a:solidFill>
            </c:spPr>
          </c:dPt>
          <c:dPt>
            <c:idx val="1"/>
            <c:bubble3D val="0"/>
            <c:spPr>
              <a:solidFill>
                <a:srgbClr val="FF0000"/>
              </a:solidFill>
            </c:spPr>
          </c:dPt>
          <c:dPt>
            <c:idx val="2"/>
            <c:bubble3D val="0"/>
            <c:spPr>
              <a:solidFill>
                <a:srgbClr val="FFFF00"/>
              </a:solidFill>
            </c:spPr>
          </c:dPt>
          <c:dPt>
            <c:idx val="3"/>
            <c:bubble3D val="0"/>
            <c:spPr>
              <a:solidFill>
                <a:srgbClr val="7030A0"/>
              </a:solidFill>
            </c:spPr>
          </c:dPt>
          <c:dLbls>
            <c:dLbl>
              <c:idx val="0"/>
              <c:layout>
                <c:manualLayout>
                  <c:x val="2.2988344848825056E-2"/>
                  <c:y val="-7.3202463686966826E-2"/>
                </c:manualLayout>
              </c:layout>
              <c:tx>
                <c:rich>
                  <a:bodyPr/>
                  <a:lstStyle/>
                  <a:p>
                    <a:r>
                      <a:rPr lang="en-US" sz="1100" dirty="0"/>
                      <a:t>60</a:t>
                    </a:r>
                    <a:r>
                      <a:rPr lang="en-US" sz="1100" dirty="0" smtClean="0"/>
                      <a:t>+</a:t>
                    </a:r>
                    <a:endParaRPr lang="ru-RU" sz="1100" dirty="0" smtClean="0"/>
                  </a:p>
                  <a:p>
                    <a:r>
                      <a:rPr lang="en-US" sz="1100" dirty="0" smtClean="0"/>
                      <a:t> 28,6</a:t>
                    </a:r>
                    <a:r>
                      <a:rPr lang="ru-RU" sz="1100" dirty="0" smtClean="0"/>
                      <a:t> %</a:t>
                    </a:r>
                    <a:endParaRPr lang="en-US" sz="1100" dirty="0"/>
                  </a:p>
                </c:rich>
              </c:tx>
              <c:showLegendKey val="0"/>
              <c:showVal val="1"/>
              <c:showCatName val="1"/>
              <c:showSerName val="0"/>
              <c:showPercent val="0"/>
              <c:showBubbleSize val="0"/>
            </c:dLbl>
            <c:dLbl>
              <c:idx val="1"/>
              <c:layout>
                <c:manualLayout>
                  <c:x val="-7.6244918429388006E-2"/>
                  <c:y val="0.13071868515530063"/>
                </c:manualLayout>
              </c:layout>
              <c:tx>
                <c:rich>
                  <a:bodyPr/>
                  <a:lstStyle/>
                  <a:p>
                    <a:r>
                      <a:rPr lang="en-US" sz="1100" dirty="0" smtClean="0"/>
                      <a:t>0-17</a:t>
                    </a:r>
                    <a:endParaRPr lang="ru-RU" sz="1100" dirty="0" smtClean="0"/>
                  </a:p>
                  <a:p>
                    <a:r>
                      <a:rPr lang="en-US" sz="1100" dirty="0" smtClean="0"/>
                      <a:t> 14,8</a:t>
                    </a:r>
                    <a:r>
                      <a:rPr lang="ru-RU" sz="1100" dirty="0" smtClean="0"/>
                      <a:t> %</a:t>
                    </a:r>
                    <a:endParaRPr lang="en-US" sz="1100" dirty="0"/>
                  </a:p>
                </c:rich>
              </c:tx>
              <c:showLegendKey val="0"/>
              <c:showVal val="1"/>
              <c:showCatName val="1"/>
              <c:showSerName val="0"/>
              <c:showPercent val="0"/>
              <c:showBubbleSize val="0"/>
            </c:dLbl>
            <c:dLbl>
              <c:idx val="2"/>
              <c:layout>
                <c:manualLayout>
                  <c:x val="0.13333240012318373"/>
                  <c:y val="8.6274332202496765E-2"/>
                </c:manualLayout>
              </c:layout>
              <c:tx>
                <c:rich>
                  <a:bodyPr/>
                  <a:lstStyle/>
                  <a:p>
                    <a:r>
                      <a:rPr lang="en-US" sz="1100" dirty="0" smtClean="0"/>
                      <a:t>18-39</a:t>
                    </a:r>
                    <a:endParaRPr lang="ru-RU" sz="1100" dirty="0" smtClean="0"/>
                  </a:p>
                  <a:p>
                    <a:r>
                      <a:rPr lang="en-US" sz="1100" dirty="0" smtClean="0"/>
                      <a:t>27</a:t>
                    </a:r>
                    <a:r>
                      <a:rPr lang="ru-RU" sz="1100" dirty="0" smtClean="0"/>
                      <a:t> %</a:t>
                    </a:r>
                    <a:endParaRPr lang="en-US" sz="1100" dirty="0"/>
                  </a:p>
                </c:rich>
              </c:tx>
              <c:showLegendKey val="0"/>
              <c:showVal val="1"/>
              <c:showCatName val="1"/>
              <c:showSerName val="0"/>
              <c:showPercent val="0"/>
              <c:showBubbleSize val="0"/>
            </c:dLbl>
            <c:dLbl>
              <c:idx val="3"/>
              <c:layout>
                <c:manualLayout>
                  <c:x val="1.5325563232549863E-2"/>
                  <c:y val="-6.0130595171437019E-2"/>
                </c:manualLayout>
              </c:layout>
              <c:tx>
                <c:rich>
                  <a:bodyPr/>
                  <a:lstStyle/>
                  <a:p>
                    <a:r>
                      <a:rPr lang="en-US" sz="1100" dirty="0" smtClean="0"/>
                      <a:t>40-59</a:t>
                    </a:r>
                    <a:endParaRPr lang="ru-RU" sz="1100" dirty="0" smtClean="0"/>
                  </a:p>
                  <a:p>
                    <a:r>
                      <a:rPr lang="en-US" sz="1100" dirty="0" smtClean="0"/>
                      <a:t> 29,6</a:t>
                    </a:r>
                    <a:r>
                      <a:rPr lang="ru-RU" sz="1100" dirty="0" smtClean="0"/>
                      <a:t> %</a:t>
                    </a:r>
                    <a:endParaRPr lang="en-US" sz="1100" dirty="0"/>
                  </a:p>
                </c:rich>
              </c:tx>
              <c:showLegendKey val="0"/>
              <c:showVal val="1"/>
              <c:showCatName val="1"/>
              <c:showSerName val="0"/>
              <c:showPercent val="0"/>
              <c:showBubbleSize val="0"/>
            </c:dLbl>
            <c:txPr>
              <a:bodyPr/>
              <a:lstStyle/>
              <a:p>
                <a:pPr>
                  <a:defRPr lang="ru-RU" sz="1100" b="1">
                    <a:latin typeface="Times New Roman" pitchFamily="18" charset="0"/>
                    <a:cs typeface="Times New Roman" pitchFamily="18" charset="0"/>
                  </a:defRPr>
                </a:pPr>
                <a:endParaRPr lang="ru-RU"/>
              </a:p>
            </c:txPr>
            <c:showLegendKey val="0"/>
            <c:showVal val="1"/>
            <c:showCatName val="1"/>
            <c:showSerName val="0"/>
            <c:showPercent val="0"/>
            <c:showBubbleSize val="0"/>
            <c:showLeaderLines val="0"/>
          </c:dLbls>
          <c:cat>
            <c:strRef>
              <c:f>Лист1!$A$2:$A$5</c:f>
              <c:strCache>
                <c:ptCount val="4"/>
                <c:pt idx="0">
                  <c:v>60+</c:v>
                </c:pt>
                <c:pt idx="1">
                  <c:v>0-17</c:v>
                </c:pt>
                <c:pt idx="2">
                  <c:v>18-39</c:v>
                </c:pt>
                <c:pt idx="3">
                  <c:v>40-59</c:v>
                </c:pt>
              </c:strCache>
            </c:strRef>
          </c:cat>
          <c:val>
            <c:numRef>
              <c:f>Лист1!$B$2:$B$5</c:f>
              <c:numCache>
                <c:formatCode>General</c:formatCode>
                <c:ptCount val="4"/>
                <c:pt idx="0">
                  <c:v>28.6</c:v>
                </c:pt>
                <c:pt idx="1">
                  <c:v>14.8</c:v>
                </c:pt>
                <c:pt idx="2">
                  <c:v>27</c:v>
                </c:pt>
                <c:pt idx="3">
                  <c:v>29.6</c:v>
                </c:pt>
              </c:numCache>
            </c:numRef>
          </c:val>
        </c:ser>
        <c:ser>
          <c:idx val="2"/>
          <c:order val="2"/>
          <c:tx>
            <c:strRef>
              <c:f>Лист1!$D$1</c:f>
              <c:strCache>
                <c:ptCount val="1"/>
                <c:pt idx="0">
                  <c:v>Ряд 3</c:v>
                </c:pt>
              </c:strCache>
            </c:strRef>
          </c:tx>
          <c:explosion val="25"/>
          <c:cat>
            <c:strRef>
              <c:f>Лист1!$A$2:$A$5</c:f>
              <c:strCache>
                <c:ptCount val="4"/>
                <c:pt idx="0">
                  <c:v>60+</c:v>
                </c:pt>
                <c:pt idx="1">
                  <c:v>0-17</c:v>
                </c:pt>
                <c:pt idx="2">
                  <c:v>18-39</c:v>
                </c:pt>
                <c:pt idx="3">
                  <c:v>40-59</c:v>
                </c:pt>
              </c:strCache>
            </c:strRef>
          </c:cat>
          <c:val>
            <c:numRef>
              <c:f>Лист1!$D$2:$D$5</c:f>
            </c:numRef>
          </c:val>
        </c:ser>
        <c:ser>
          <c:idx val="1"/>
          <c:order val="1"/>
          <c:tx>
            <c:strRef>
              <c:f>Лист1!$C$1</c:f>
              <c:strCache>
                <c:ptCount val="1"/>
                <c:pt idx="0">
                  <c:v>Ряд 2</c:v>
                </c:pt>
              </c:strCache>
            </c:strRef>
          </c:tx>
          <c:explosion val="25"/>
          <c:cat>
            <c:strRef>
              <c:f>Лист1!$A$2:$A$5</c:f>
              <c:strCache>
                <c:ptCount val="4"/>
                <c:pt idx="0">
                  <c:v>60+</c:v>
                </c:pt>
                <c:pt idx="1">
                  <c:v>0-17</c:v>
                </c:pt>
                <c:pt idx="2">
                  <c:v>18-39</c:v>
                </c:pt>
                <c:pt idx="3">
                  <c:v>40-59</c:v>
                </c:pt>
              </c:strCache>
            </c:strRef>
          </c:cat>
          <c:val>
            <c:numRef>
              <c:f>Лист1!$C$2:$C$5</c:f>
            </c:numRef>
          </c:val>
        </c:ser>
        <c:dLbls>
          <c:showLegendKey val="0"/>
          <c:showVal val="0"/>
          <c:showCatName val="0"/>
          <c:showSerName val="0"/>
          <c:showPercent val="0"/>
          <c:showBubbleSize val="0"/>
          <c:showLeaderLines val="0"/>
        </c:dLbls>
      </c:pie3DChart>
    </c:plotArea>
    <c:plotVisOnly val="1"/>
    <c:dispBlanksAs val="zero"/>
    <c:showDLblsOverMax val="0"/>
  </c:chart>
  <c:txPr>
    <a:bodyPr/>
    <a:lstStyle/>
    <a:p>
      <a:pPr>
        <a:defRPr sz="1800"/>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solidFill>
          <a:schemeClr val="tx1"/>
        </a:solidFill>
      </c:spPr>
    </c:floor>
    <c:sideWall>
      <c:thickness val="0"/>
    </c:sideWall>
    <c:backWall>
      <c:thickness val="0"/>
    </c:backWall>
    <c:plotArea>
      <c:layout/>
      <c:bar3DChart>
        <c:barDir val="bar"/>
        <c:grouping val="percentStacked"/>
        <c:varyColors val="0"/>
        <c:ser>
          <c:idx val="0"/>
          <c:order val="0"/>
          <c:tx>
            <c:strRef>
              <c:f>Лист1!$B$1</c:f>
              <c:strCache>
                <c:ptCount val="1"/>
                <c:pt idx="0">
                  <c:v>чоловіки</c:v>
                </c:pt>
              </c:strCache>
            </c:strRef>
          </c:tx>
          <c:spPr>
            <a:solidFill>
              <a:schemeClr val="accent3">
                <a:lumMod val="60000"/>
                <a:lumOff val="40000"/>
              </a:schemeClr>
            </a:solidFill>
          </c:spPr>
          <c:invertIfNegative val="0"/>
          <c:dLbls>
            <c:txPr>
              <a:bodyPr/>
              <a:lstStyle/>
              <a:p>
                <a:pPr>
                  <a:defRPr lang="ru-RU"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Лист1!$A$2:$A$16</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і …</c:v>
                </c:pt>
              </c:strCache>
            </c:strRef>
          </c:cat>
          <c:val>
            <c:numRef>
              <c:f>Лист1!$B$2:$B$16</c:f>
              <c:numCache>
                <c:formatCode>General</c:formatCode>
                <c:ptCount val="15"/>
                <c:pt idx="0">
                  <c:v>1488</c:v>
                </c:pt>
                <c:pt idx="1">
                  <c:v>1841</c:v>
                </c:pt>
                <c:pt idx="2">
                  <c:v>1489</c:v>
                </c:pt>
                <c:pt idx="3">
                  <c:v>1275</c:v>
                </c:pt>
                <c:pt idx="4">
                  <c:v>1449</c:v>
                </c:pt>
                <c:pt idx="5">
                  <c:v>2368</c:v>
                </c:pt>
                <c:pt idx="6">
                  <c:v>3378</c:v>
                </c:pt>
                <c:pt idx="7">
                  <c:v>2348</c:v>
                </c:pt>
                <c:pt idx="8">
                  <c:v>2278</c:v>
                </c:pt>
                <c:pt idx="9">
                  <c:v>2344</c:v>
                </c:pt>
                <c:pt idx="10">
                  <c:v>2261</c:v>
                </c:pt>
                <c:pt idx="11">
                  <c:v>2577</c:v>
                </c:pt>
                <c:pt idx="12">
                  <c:v>2820</c:v>
                </c:pt>
                <c:pt idx="13">
                  <c:v>1892</c:v>
                </c:pt>
                <c:pt idx="14">
                  <c:v>2875</c:v>
                </c:pt>
              </c:numCache>
            </c:numRef>
          </c:val>
        </c:ser>
        <c:ser>
          <c:idx val="1"/>
          <c:order val="1"/>
          <c:tx>
            <c:strRef>
              <c:f>Лист1!$C$1</c:f>
              <c:strCache>
                <c:ptCount val="1"/>
                <c:pt idx="0">
                  <c:v>жінки</c:v>
                </c:pt>
              </c:strCache>
            </c:strRef>
          </c:tx>
          <c:spPr>
            <a:solidFill>
              <a:srgbClr val="FFFF00"/>
            </a:solidFill>
          </c:spPr>
          <c:invertIfNegative val="0"/>
          <c:dLbls>
            <c:txPr>
              <a:bodyPr/>
              <a:lstStyle/>
              <a:p>
                <a:pPr>
                  <a:defRPr lang="ru-RU"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Лист1!$A$2:$A$16</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і …</c:v>
                </c:pt>
              </c:strCache>
            </c:strRef>
          </c:cat>
          <c:val>
            <c:numRef>
              <c:f>Лист1!$C$2:$C$16</c:f>
              <c:numCache>
                <c:formatCode>General</c:formatCode>
                <c:ptCount val="15"/>
                <c:pt idx="0">
                  <c:v>1376</c:v>
                </c:pt>
                <c:pt idx="1">
                  <c:v>1783</c:v>
                </c:pt>
                <c:pt idx="2">
                  <c:v>1443</c:v>
                </c:pt>
                <c:pt idx="3">
                  <c:v>1209</c:v>
                </c:pt>
                <c:pt idx="4">
                  <c:v>1372</c:v>
                </c:pt>
                <c:pt idx="5">
                  <c:v>2391</c:v>
                </c:pt>
                <c:pt idx="6">
                  <c:v>2934</c:v>
                </c:pt>
                <c:pt idx="7">
                  <c:v>2715</c:v>
                </c:pt>
                <c:pt idx="8">
                  <c:v>2856</c:v>
                </c:pt>
                <c:pt idx="9">
                  <c:v>2899</c:v>
                </c:pt>
                <c:pt idx="10">
                  <c:v>2962</c:v>
                </c:pt>
                <c:pt idx="11">
                  <c:v>3677</c:v>
                </c:pt>
                <c:pt idx="12">
                  <c:v>3350</c:v>
                </c:pt>
                <c:pt idx="13">
                  <c:v>3304</c:v>
                </c:pt>
                <c:pt idx="14">
                  <c:v>6860</c:v>
                </c:pt>
              </c:numCache>
            </c:numRef>
          </c:val>
        </c:ser>
        <c:ser>
          <c:idx val="2"/>
          <c:order val="2"/>
          <c:tx>
            <c:strRef>
              <c:f>Лист1!$D$1</c:f>
              <c:strCache>
                <c:ptCount val="1"/>
                <c:pt idx="0">
                  <c:v>Ряд 3</c:v>
                </c:pt>
              </c:strCache>
            </c:strRef>
          </c:tx>
          <c:invertIfNegative val="0"/>
          <c:cat>
            <c:strRef>
              <c:f>Лист1!$A$2:$A$16</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і …</c:v>
                </c:pt>
              </c:strCache>
            </c:strRef>
          </c:cat>
          <c:val>
            <c:numRef>
              <c:f>Лист1!$D$2:$D$16</c:f>
            </c:numRef>
          </c:val>
        </c:ser>
        <c:dLbls>
          <c:showLegendKey val="0"/>
          <c:showVal val="0"/>
          <c:showCatName val="0"/>
          <c:showSerName val="0"/>
          <c:showPercent val="0"/>
          <c:showBubbleSize val="0"/>
        </c:dLbls>
        <c:gapWidth val="150"/>
        <c:shape val="box"/>
        <c:axId val="104526208"/>
        <c:axId val="104527744"/>
        <c:axId val="0"/>
      </c:bar3DChart>
      <c:catAx>
        <c:axId val="104526208"/>
        <c:scaling>
          <c:orientation val="minMax"/>
        </c:scaling>
        <c:delete val="0"/>
        <c:axPos val="l"/>
        <c:majorTickMark val="out"/>
        <c:minorTickMark val="none"/>
        <c:tickLblPos val="nextTo"/>
        <c:txPr>
          <a:bodyPr/>
          <a:lstStyle/>
          <a:p>
            <a:pPr>
              <a:defRPr lang="ru-RU" sz="1100" b="1">
                <a:latin typeface="Times New Roman" pitchFamily="18" charset="0"/>
                <a:cs typeface="Times New Roman" pitchFamily="18" charset="0"/>
              </a:defRPr>
            </a:pPr>
            <a:endParaRPr lang="ru-RU"/>
          </a:p>
        </c:txPr>
        <c:crossAx val="104527744"/>
        <c:crosses val="autoZero"/>
        <c:auto val="1"/>
        <c:lblAlgn val="ctr"/>
        <c:lblOffset val="100"/>
        <c:noMultiLvlLbl val="0"/>
      </c:catAx>
      <c:valAx>
        <c:axId val="104527744"/>
        <c:scaling>
          <c:orientation val="minMax"/>
        </c:scaling>
        <c:delete val="1"/>
        <c:axPos val="b"/>
        <c:numFmt formatCode="0%" sourceLinked="1"/>
        <c:majorTickMark val="out"/>
        <c:minorTickMark val="none"/>
        <c:tickLblPos val="nextTo"/>
        <c:crossAx val="104526208"/>
        <c:crosses val="autoZero"/>
        <c:crossBetween val="between"/>
      </c:valAx>
    </c:plotArea>
    <c:legend>
      <c:legendPos val="r"/>
      <c:overlay val="0"/>
      <c:txPr>
        <a:bodyPr/>
        <a:lstStyle/>
        <a:p>
          <a:pPr>
            <a:defRPr lang="ru-RU" sz="1100"/>
          </a:pPr>
          <a:endParaRPr lang="ru-RU"/>
        </a:p>
      </c:txPr>
    </c:legend>
    <c:plotVisOnly val="1"/>
    <c:dispBlanksAs val="gap"/>
    <c:showDLblsOverMax val="0"/>
  </c:chart>
  <c:txPr>
    <a:bodyPr/>
    <a:lstStyle/>
    <a:p>
      <a:pPr>
        <a:defRPr sz="1800"/>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8.6723018078855005E-2"/>
          <c:y val="2.7936446484007546E-2"/>
          <c:w val="0.91327698192113638"/>
          <c:h val="0.61899806344633612"/>
        </c:manualLayout>
      </c:layout>
      <c:bar3DChart>
        <c:barDir val="col"/>
        <c:grouping val="clustered"/>
        <c:varyColors val="0"/>
        <c:ser>
          <c:idx val="3"/>
          <c:order val="3"/>
          <c:tx>
            <c:strRef>
              <c:f>Лист1!$B$1</c:f>
            </c:strRef>
          </c:tx>
          <c:spPr>
            <a:solidFill>
              <a:schemeClr val="accent3">
                <a:lumMod val="60000"/>
                <a:lumOff val="40000"/>
              </a:schemeClr>
            </a:solidFill>
          </c:spPr>
          <c:invertIfNegative val="0"/>
          <c:cat>
            <c:multiLvlStrRef>
              <c:f>Лист1!$A$2:$A$16</c:f>
            </c:multiLvlStrRef>
          </c:cat>
          <c:val>
            <c:numRef>
              <c:f>Лист1!$B$2:$B$16</c:f>
            </c:numRef>
          </c:val>
        </c:ser>
        <c:ser>
          <c:idx val="4"/>
          <c:order val="4"/>
          <c:tx>
            <c:strRef>
              <c:f>Лист1!$C$1</c:f>
            </c:strRef>
          </c:tx>
          <c:spPr>
            <a:solidFill>
              <a:srgbClr val="FFFF00"/>
            </a:solidFill>
          </c:spPr>
          <c:invertIfNegative val="0"/>
          <c:cat>
            <c:multiLvlStrRef>
              <c:f>Лист1!$A$2:$A$16</c:f>
            </c:multiLvlStrRef>
          </c:cat>
          <c:val>
            <c:numRef>
              <c:f>Лист1!$C$2:$C$16</c:f>
            </c:numRef>
          </c:val>
        </c:ser>
        <c:ser>
          <c:idx val="5"/>
          <c:order val="5"/>
          <c:tx>
            <c:strRef>
              <c:f>Лист1!$D$1</c:f>
            </c:strRef>
          </c:tx>
          <c:invertIfNegative val="0"/>
          <c:cat>
            <c:multiLvlStrRef>
              <c:f>Лист1!$A$2:$A$16</c:f>
            </c:multiLvlStrRef>
          </c:cat>
          <c:val>
            <c:numRef>
              <c:f>Лист1!$D$2:$D$16</c:f>
            </c:numRef>
          </c:val>
        </c:ser>
        <c:ser>
          <c:idx val="0"/>
          <c:order val="0"/>
          <c:tx>
            <c:strRef>
              <c:f>Лист1!$B$1</c:f>
              <c:strCache>
                <c:ptCount val="1"/>
                <c:pt idx="0">
                  <c:v>Столбец1</c:v>
                </c:pt>
              </c:strCache>
            </c:strRef>
          </c:tx>
          <c:invertIfNegative val="0"/>
          <c:dPt>
            <c:idx val="0"/>
            <c:invertIfNegative val="0"/>
            <c:bubble3D val="0"/>
            <c:spPr>
              <a:solidFill>
                <a:srgbClr val="00B050"/>
              </a:solidFill>
            </c:spPr>
          </c:dPt>
          <c:dPt>
            <c:idx val="1"/>
            <c:invertIfNegative val="0"/>
            <c:bubble3D val="0"/>
            <c:spPr>
              <a:solidFill>
                <a:srgbClr val="D60093"/>
              </a:solidFill>
            </c:spPr>
          </c:dPt>
          <c:dPt>
            <c:idx val="2"/>
            <c:invertIfNegative val="0"/>
            <c:bubble3D val="0"/>
            <c:spPr>
              <a:solidFill>
                <a:schemeClr val="accent1"/>
              </a:solidFill>
            </c:spPr>
          </c:dPt>
          <c:dPt>
            <c:idx val="3"/>
            <c:invertIfNegative val="0"/>
            <c:bubble3D val="0"/>
            <c:spPr>
              <a:solidFill>
                <a:srgbClr val="7030A0"/>
              </a:solidFill>
            </c:spPr>
          </c:dPt>
          <c:dPt>
            <c:idx val="4"/>
            <c:invertIfNegative val="0"/>
            <c:bubble3D val="0"/>
            <c:spPr>
              <a:solidFill>
                <a:srgbClr val="FF0000"/>
              </a:solidFill>
            </c:spPr>
          </c:dPt>
          <c:dPt>
            <c:idx val="5"/>
            <c:invertIfNegative val="0"/>
            <c:bubble3D val="0"/>
            <c:spPr>
              <a:solidFill>
                <a:srgbClr val="FFC000"/>
              </a:solidFill>
            </c:spPr>
          </c:dPt>
          <c:dPt>
            <c:idx val="6"/>
            <c:invertIfNegative val="0"/>
            <c:bubble3D val="0"/>
            <c:spPr>
              <a:solidFill>
                <a:schemeClr val="accent3">
                  <a:lumMod val="60000"/>
                  <a:lumOff val="40000"/>
                </a:schemeClr>
              </a:solidFill>
            </c:spPr>
          </c:dPt>
          <c:dPt>
            <c:idx val="7"/>
            <c:invertIfNegative val="0"/>
            <c:bubble3D val="0"/>
            <c:spPr>
              <a:solidFill>
                <a:schemeClr val="accent6">
                  <a:lumMod val="50000"/>
                </a:schemeClr>
              </a:solidFill>
            </c:spPr>
          </c:dPt>
          <c:dLbls>
            <c:dLbl>
              <c:idx val="1"/>
              <c:layout>
                <c:manualLayout>
                  <c:x val="4.5976689697649594E-3"/>
                  <c:y val="-0.10158707812366265"/>
                </c:manualLayout>
              </c:layout>
              <c:showLegendKey val="0"/>
              <c:showVal val="1"/>
              <c:showCatName val="0"/>
              <c:showSerName val="0"/>
              <c:showPercent val="0"/>
              <c:showBubbleSize val="0"/>
            </c:dLbl>
            <c:dLbl>
              <c:idx val="2"/>
              <c:layout>
                <c:manualLayout>
                  <c:x val="1.3793006909294796E-2"/>
                  <c:y val="-0.10920610898293902"/>
                </c:manualLayout>
              </c:layout>
              <c:showLegendKey val="0"/>
              <c:showVal val="1"/>
              <c:showCatName val="0"/>
              <c:showSerName val="0"/>
              <c:showPercent val="0"/>
              <c:showBubbleSize val="0"/>
            </c:dLbl>
            <c:dLbl>
              <c:idx val="3"/>
              <c:layout>
                <c:manualLayout>
                  <c:x val="1.2260450586039889E-2"/>
                  <c:y val="-0.10920610898293906"/>
                </c:manualLayout>
              </c:layout>
              <c:showLegendKey val="0"/>
              <c:showVal val="1"/>
              <c:showCatName val="0"/>
              <c:showSerName val="0"/>
              <c:showPercent val="0"/>
              <c:showBubbleSize val="0"/>
            </c:dLbl>
            <c:dLbl>
              <c:idx val="4"/>
              <c:layout>
                <c:manualLayout>
                  <c:x val="9.1953379395300228E-3"/>
                  <c:y val="-0.10920610898293902"/>
                </c:manualLayout>
              </c:layout>
              <c:showLegendKey val="0"/>
              <c:showVal val="1"/>
              <c:showCatName val="0"/>
              <c:showSerName val="0"/>
              <c:showPercent val="0"/>
              <c:showBubbleSize val="0"/>
            </c:dLbl>
            <c:dLbl>
              <c:idx val="5"/>
              <c:layout>
                <c:manualLayout>
                  <c:x val="6.1302252930199534E-3"/>
                  <c:y val="-0.10920610898293895"/>
                </c:manualLayout>
              </c:layout>
              <c:showLegendKey val="0"/>
              <c:showVal val="1"/>
              <c:showCatName val="0"/>
              <c:showSerName val="0"/>
              <c:showPercent val="0"/>
              <c:showBubbleSize val="0"/>
            </c:dLbl>
            <c:dLbl>
              <c:idx val="6"/>
              <c:layout>
                <c:manualLayout>
                  <c:x val="4.5976689697649594E-3"/>
                  <c:y val="-0.10666643202984592"/>
                </c:manualLayout>
              </c:layout>
              <c:showLegendKey val="0"/>
              <c:showVal val="1"/>
              <c:showCatName val="0"/>
              <c:showSerName val="0"/>
              <c:showPercent val="0"/>
              <c:showBubbleSize val="0"/>
            </c:dLbl>
            <c:dLbl>
              <c:idx val="7"/>
              <c:layout>
                <c:manualLayout>
                  <c:x val="1.0727894262785228E-2"/>
                  <c:y val="-0.10920610898293895"/>
                </c:manualLayout>
              </c:layout>
              <c:showLegendKey val="0"/>
              <c:showVal val="1"/>
              <c:showCatName val="0"/>
              <c:showSerName val="0"/>
              <c:showPercent val="0"/>
              <c:showBubbleSize val="0"/>
            </c:dLbl>
            <c:txPr>
              <a:bodyPr/>
              <a:lstStyle/>
              <a:p>
                <a:pPr>
                  <a:defRPr lang="ru-RU"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Лист1!$A$2:$A$9</c:f>
              <c:strCache>
                <c:ptCount val="8"/>
                <c:pt idx="0">
                  <c:v>Костянтинівка</c:v>
                </c:pt>
                <c:pt idx="1">
                  <c:v>Іванопілля</c:v>
                </c:pt>
                <c:pt idx="2">
                  <c:v>Предтечине</c:v>
                </c:pt>
                <c:pt idx="3">
                  <c:v>Миколаївка</c:v>
                </c:pt>
                <c:pt idx="4">
                  <c:v>Маркове</c:v>
                </c:pt>
                <c:pt idx="5">
                  <c:v>Віролюбівка</c:v>
                </c:pt>
                <c:pt idx="6">
                  <c:v>Білокузьминівка</c:v>
                </c:pt>
                <c:pt idx="7">
                  <c:v>Новодмитрівка</c:v>
                </c:pt>
              </c:strCache>
            </c:strRef>
          </c:cat>
          <c:val>
            <c:numRef>
              <c:f>Лист1!$B$2:$B$9</c:f>
              <c:numCache>
                <c:formatCode>General</c:formatCode>
                <c:ptCount val="8"/>
                <c:pt idx="0">
                  <c:v>40280</c:v>
                </c:pt>
                <c:pt idx="1">
                  <c:v>1113</c:v>
                </c:pt>
                <c:pt idx="2">
                  <c:v>243</c:v>
                </c:pt>
                <c:pt idx="3">
                  <c:v>240</c:v>
                </c:pt>
                <c:pt idx="4">
                  <c:v>271</c:v>
                </c:pt>
                <c:pt idx="5">
                  <c:v>214</c:v>
                </c:pt>
                <c:pt idx="6">
                  <c:v>434</c:v>
                </c:pt>
                <c:pt idx="7">
                  <c:v>365</c:v>
                </c:pt>
              </c:numCache>
            </c:numRef>
          </c:val>
        </c:ser>
        <c:ser>
          <c:idx val="1"/>
          <c:order val="1"/>
          <c:tx>
            <c:strRef>
              <c:f>Лист1!$C$1</c:f>
              <c:strCache>
                <c:ptCount val="1"/>
                <c:pt idx="0">
                  <c:v>Ряд 2</c:v>
                </c:pt>
              </c:strCache>
            </c:strRef>
          </c:tx>
          <c:invertIfNegative val="0"/>
          <c:cat>
            <c:strRef>
              <c:f>Лист1!$A$2:$A$9</c:f>
              <c:strCache>
                <c:ptCount val="8"/>
                <c:pt idx="0">
                  <c:v>Костянтинівка</c:v>
                </c:pt>
                <c:pt idx="1">
                  <c:v>Іванопілля</c:v>
                </c:pt>
                <c:pt idx="2">
                  <c:v>Предтечине</c:v>
                </c:pt>
                <c:pt idx="3">
                  <c:v>Миколаївка</c:v>
                </c:pt>
                <c:pt idx="4">
                  <c:v>Маркове</c:v>
                </c:pt>
                <c:pt idx="5">
                  <c:v>Віролюбівка</c:v>
                </c:pt>
                <c:pt idx="6">
                  <c:v>Білокузьминівка</c:v>
                </c:pt>
                <c:pt idx="7">
                  <c:v>Новодмитрівка</c:v>
                </c:pt>
              </c:strCache>
            </c:strRef>
          </c:cat>
          <c:val>
            <c:numRef>
              <c:f>Лист1!$C$2:$C$9</c:f>
            </c:numRef>
          </c:val>
          <c:shape val="box"/>
        </c:ser>
        <c:ser>
          <c:idx val="2"/>
          <c:order val="2"/>
          <c:tx>
            <c:strRef>
              <c:f>Лист1!$D$1</c:f>
              <c:strCache>
                <c:ptCount val="1"/>
                <c:pt idx="0">
                  <c:v>Ряд 3</c:v>
                </c:pt>
              </c:strCache>
            </c:strRef>
          </c:tx>
          <c:invertIfNegative val="0"/>
          <c:cat>
            <c:strRef>
              <c:f>Лист1!$A$2:$A$9</c:f>
              <c:strCache>
                <c:ptCount val="8"/>
                <c:pt idx="0">
                  <c:v>Костянтинівка</c:v>
                </c:pt>
                <c:pt idx="1">
                  <c:v>Іванопілля</c:v>
                </c:pt>
                <c:pt idx="2">
                  <c:v>Предтечине</c:v>
                </c:pt>
                <c:pt idx="3">
                  <c:v>Миколаївка</c:v>
                </c:pt>
                <c:pt idx="4">
                  <c:v>Маркове</c:v>
                </c:pt>
                <c:pt idx="5">
                  <c:v>Віролюбівка</c:v>
                </c:pt>
                <c:pt idx="6">
                  <c:v>Білокузьминівка</c:v>
                </c:pt>
                <c:pt idx="7">
                  <c:v>Новодмитрівка</c:v>
                </c:pt>
              </c:strCache>
            </c:strRef>
          </c:cat>
          <c:val>
            <c:numRef>
              <c:f>Лист1!$D$2:$D$9</c:f>
            </c:numRef>
          </c:val>
          <c:shape val="box"/>
        </c:ser>
        <c:dLbls>
          <c:showLegendKey val="0"/>
          <c:showVal val="0"/>
          <c:showCatName val="0"/>
          <c:showSerName val="0"/>
          <c:showPercent val="0"/>
          <c:showBubbleSize val="0"/>
        </c:dLbls>
        <c:gapWidth val="100"/>
        <c:shape val="pyramid"/>
        <c:axId val="106194432"/>
        <c:axId val="106195968"/>
        <c:axId val="0"/>
      </c:bar3DChart>
      <c:catAx>
        <c:axId val="106194432"/>
        <c:scaling>
          <c:orientation val="minMax"/>
        </c:scaling>
        <c:delete val="0"/>
        <c:axPos val="b"/>
        <c:majorTickMark val="out"/>
        <c:minorTickMark val="none"/>
        <c:tickLblPos val="nextTo"/>
        <c:txPr>
          <a:bodyPr/>
          <a:lstStyle/>
          <a:p>
            <a:pPr>
              <a:defRPr lang="ru-RU" sz="1200" b="1">
                <a:latin typeface="Times New Roman" pitchFamily="18" charset="0"/>
                <a:cs typeface="Times New Roman" pitchFamily="18" charset="0"/>
              </a:defRPr>
            </a:pPr>
            <a:endParaRPr lang="ru-RU"/>
          </a:p>
        </c:txPr>
        <c:crossAx val="106195968"/>
        <c:crosses val="autoZero"/>
        <c:auto val="1"/>
        <c:lblAlgn val="ctr"/>
        <c:lblOffset val="100"/>
        <c:noMultiLvlLbl val="0"/>
      </c:catAx>
      <c:valAx>
        <c:axId val="106195968"/>
        <c:scaling>
          <c:orientation val="minMax"/>
        </c:scaling>
        <c:delete val="1"/>
        <c:axPos val="l"/>
        <c:numFmt formatCode="General" sourceLinked="1"/>
        <c:majorTickMark val="out"/>
        <c:minorTickMark val="none"/>
        <c:tickLblPos val="nextTo"/>
        <c:crossAx val="106194432"/>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4.1103474341386934E-2"/>
          <c:y val="0"/>
          <c:w val="0.95889652565861305"/>
          <c:h val="0.8000721078504005"/>
        </c:manualLayout>
      </c:layout>
      <c:bar3DChart>
        <c:barDir val="col"/>
        <c:grouping val="clustered"/>
        <c:varyColors val="0"/>
        <c:ser>
          <c:idx val="3"/>
          <c:order val="3"/>
          <c:tx>
            <c:strRef>
              <c:f>Лист1!$B$1</c:f>
            </c:strRef>
          </c:tx>
          <c:spPr>
            <a:solidFill>
              <a:schemeClr val="accent3">
                <a:lumMod val="60000"/>
                <a:lumOff val="40000"/>
              </a:schemeClr>
            </a:solidFill>
          </c:spPr>
          <c:invertIfNegative val="0"/>
          <c:cat>
            <c:multiLvlStrRef>
              <c:f>Лист1!$A$2:$A$16</c:f>
            </c:multiLvlStrRef>
          </c:cat>
          <c:val>
            <c:numRef>
              <c:f>Лист1!$B$2:$B$16</c:f>
            </c:numRef>
          </c:val>
        </c:ser>
        <c:ser>
          <c:idx val="4"/>
          <c:order val="4"/>
          <c:tx>
            <c:strRef>
              <c:f>Лист1!$C$1</c:f>
            </c:strRef>
          </c:tx>
          <c:spPr>
            <a:solidFill>
              <a:srgbClr val="FFFF00"/>
            </a:solidFill>
          </c:spPr>
          <c:invertIfNegative val="0"/>
          <c:cat>
            <c:multiLvlStrRef>
              <c:f>Лист1!$A$2:$A$16</c:f>
            </c:multiLvlStrRef>
          </c:cat>
          <c:val>
            <c:numRef>
              <c:f>Лист1!$C$2:$C$16</c:f>
            </c:numRef>
          </c:val>
        </c:ser>
        <c:ser>
          <c:idx val="5"/>
          <c:order val="5"/>
          <c:tx>
            <c:strRef>
              <c:f>Лист1!$D$1</c:f>
            </c:strRef>
          </c:tx>
          <c:invertIfNegative val="0"/>
          <c:cat>
            <c:multiLvlStrRef>
              <c:f>Лист1!$A$2:$A$16</c:f>
            </c:multiLvlStrRef>
          </c:cat>
          <c:val>
            <c:numRef>
              <c:f>Лист1!$D$2:$D$16</c:f>
            </c:numRef>
          </c:val>
        </c:ser>
        <c:ser>
          <c:idx val="6"/>
          <c:order val="6"/>
          <c:tx>
            <c:strRef>
              <c:f>Лист1!$B$1</c:f>
            </c:strRef>
          </c:tx>
          <c:invertIfNegative val="0"/>
          <c:cat>
            <c:multiLvlStrRef>
              <c:f>Лист1!$A$2:$A$9</c:f>
            </c:multiLvlStrRef>
          </c:cat>
          <c:val>
            <c:numRef>
              <c:f>Лист1!$B$2:$B$9</c:f>
            </c:numRef>
          </c:val>
        </c:ser>
        <c:ser>
          <c:idx val="7"/>
          <c:order val="7"/>
          <c:tx>
            <c:strRef>
              <c:f>Лист1!$C$1</c:f>
            </c:strRef>
          </c:tx>
          <c:invertIfNegative val="0"/>
          <c:cat>
            <c:multiLvlStrRef>
              <c:f>Лист1!$A$2:$A$9</c:f>
            </c:multiLvlStrRef>
          </c:cat>
          <c:val>
            <c:numRef>
              <c:f>Лист1!$C$2:$C$9</c:f>
            </c:numRef>
          </c:val>
        </c:ser>
        <c:ser>
          <c:idx val="8"/>
          <c:order val="8"/>
          <c:tx>
            <c:strRef>
              <c:f>Лист1!$D$1</c:f>
            </c:strRef>
          </c:tx>
          <c:invertIfNegative val="0"/>
          <c:cat>
            <c:multiLvlStrRef>
              <c:f>Лист1!$A$2:$A$9</c:f>
            </c:multiLvlStrRef>
          </c:cat>
          <c:val>
            <c:numRef>
              <c:f>Лист1!$D$2:$D$9</c:f>
            </c:numRef>
          </c:val>
        </c:ser>
        <c:ser>
          <c:idx val="0"/>
          <c:order val="0"/>
          <c:tx>
            <c:strRef>
              <c:f>Лист1!$B$1</c:f>
              <c:strCache>
                <c:ptCount val="1"/>
                <c:pt idx="0">
                  <c:v>Чисельність безробітних</c:v>
                </c:pt>
              </c:strCache>
            </c:strRef>
          </c:tx>
          <c:spPr>
            <a:solidFill>
              <a:schemeClr val="accent4">
                <a:lumMod val="60000"/>
                <a:lumOff val="40000"/>
              </a:schemeClr>
            </a:solidFill>
          </c:spPr>
          <c:invertIfNegative val="0"/>
          <c:dLbls>
            <c:dLbl>
              <c:idx val="0"/>
              <c:layout>
                <c:manualLayout>
                  <c:x val="-1.4814851268591441E-2"/>
                  <c:y val="3.2169308064014641E-2"/>
                </c:manualLayout>
              </c:layout>
              <c:showLegendKey val="0"/>
              <c:showVal val="1"/>
              <c:showCatName val="0"/>
              <c:showSerName val="0"/>
              <c:showPercent val="0"/>
              <c:showBubbleSize val="0"/>
            </c:dLbl>
            <c:dLbl>
              <c:idx val="1"/>
              <c:layout>
                <c:manualLayout>
                  <c:x val="0"/>
                  <c:y val="4.3304726729766332E-2"/>
                </c:manualLayout>
              </c:layout>
              <c:showLegendKey val="0"/>
              <c:showVal val="1"/>
              <c:showCatName val="0"/>
              <c:showSerName val="0"/>
              <c:showPercent val="0"/>
              <c:showBubbleSize val="0"/>
            </c:dLbl>
            <c:dLbl>
              <c:idx val="2"/>
              <c:layout>
                <c:manualLayout>
                  <c:x val="1.6111220472440946E-2"/>
                  <c:y val="3.594622763984421E-2"/>
                </c:manualLayout>
              </c:layout>
              <c:showLegendKey val="0"/>
              <c:showVal val="1"/>
              <c:showCatName val="0"/>
              <c:showSerName val="0"/>
              <c:showPercent val="0"/>
              <c:showBubbleSize val="0"/>
            </c:dLbl>
            <c:dLbl>
              <c:idx val="3"/>
              <c:layout>
                <c:manualLayout>
                  <c:x val="7.4073555623990969E-3"/>
                  <c:y val="3.6467138298750611E-2"/>
                </c:manualLayout>
              </c:layout>
              <c:showLegendKey val="0"/>
              <c:showVal val="1"/>
              <c:showCatName val="0"/>
              <c:showSerName val="0"/>
              <c:showPercent val="0"/>
              <c:showBubbleSize val="0"/>
            </c:dLbl>
            <c:txPr>
              <a:bodyPr/>
              <a:lstStyle/>
              <a:p>
                <a:pPr>
                  <a:defRPr lang="ru-RU"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711</c:v>
                </c:pt>
                <c:pt idx="1">
                  <c:v>2856</c:v>
                </c:pt>
                <c:pt idx="2">
                  <c:v>2148</c:v>
                </c:pt>
                <c:pt idx="3">
                  <c:v>2122</c:v>
                </c:pt>
                <c:pt idx="4">
                  <c:v>2741</c:v>
                </c:pt>
              </c:numCache>
            </c:numRef>
          </c:val>
        </c:ser>
        <c:ser>
          <c:idx val="1"/>
          <c:order val="1"/>
          <c:tx>
            <c:strRef>
              <c:f>Лист1!$C$1</c:f>
              <c:strCache>
                <c:ptCount val="1"/>
                <c:pt idx="0">
                  <c:v>Чисельність осіб, забезпечених роботою</c:v>
                </c:pt>
              </c:strCache>
            </c:strRef>
          </c:tx>
          <c:spPr>
            <a:solidFill>
              <a:srgbClr val="FF0000"/>
            </a:solidFill>
          </c:spPr>
          <c:invertIfNegative val="0"/>
          <c:dLbls>
            <c:dLbl>
              <c:idx val="0"/>
              <c:layout>
                <c:manualLayout>
                  <c:x val="2.4501312335958005E-2"/>
                  <c:y val="6.7276981943522598E-3"/>
                </c:manualLayout>
              </c:layout>
              <c:showLegendKey val="0"/>
              <c:showVal val="1"/>
              <c:showCatName val="0"/>
              <c:showSerName val="0"/>
              <c:showPercent val="0"/>
              <c:showBubbleSize val="0"/>
            </c:dLbl>
            <c:dLbl>
              <c:idx val="1"/>
              <c:layout>
                <c:manualLayout>
                  <c:x val="1.3888888888889058E-2"/>
                  <c:y val="2.2791900870209748E-2"/>
                </c:manualLayout>
              </c:layout>
              <c:showLegendKey val="0"/>
              <c:showVal val="1"/>
              <c:showCatName val="0"/>
              <c:showSerName val="0"/>
              <c:showPercent val="0"/>
              <c:showBubbleSize val="0"/>
            </c:dLbl>
            <c:dLbl>
              <c:idx val="2"/>
              <c:layout>
                <c:manualLayout>
                  <c:x val="1.6666666666666701E-2"/>
                  <c:y val="1.7973113819922105E-2"/>
                </c:manualLayout>
              </c:layout>
              <c:showLegendKey val="0"/>
              <c:showVal val="1"/>
              <c:showCatName val="0"/>
              <c:showSerName val="0"/>
              <c:showPercent val="0"/>
              <c:showBubbleSize val="0"/>
            </c:dLbl>
            <c:dLbl>
              <c:idx val="3"/>
              <c:layout>
                <c:manualLayout>
                  <c:x val="1.6666666666666701E-2"/>
                  <c:y val="3.6988095114301484E-2"/>
                </c:manualLayout>
              </c:layout>
              <c:showLegendKey val="0"/>
              <c:showVal val="1"/>
              <c:showCatName val="0"/>
              <c:showSerName val="0"/>
              <c:showPercent val="0"/>
              <c:showBubbleSize val="0"/>
            </c:dLbl>
            <c:dLbl>
              <c:idx val="4"/>
              <c:layout>
                <c:manualLayout>
                  <c:x val="3.888888888888889E-2"/>
                  <c:y val="-1.2698384765457841E-2"/>
                </c:manualLayout>
              </c:layout>
              <c:tx>
                <c:rich>
                  <a:bodyPr/>
                  <a:lstStyle/>
                  <a:p>
                    <a:r>
                      <a:rPr lang="ru-RU" sz="1100" b="1" smtClean="0">
                        <a:latin typeface="Times New Roman" pitchFamily="18" charset="0"/>
                        <a:cs typeface="Times New Roman" pitchFamily="18" charset="0"/>
                      </a:rPr>
                      <a:t>1574</a:t>
                    </a:r>
                    <a:endParaRPr lang="en-US" sz="1100" b="1">
                      <a:latin typeface="Times New Roman" pitchFamily="18" charset="0"/>
                      <a:cs typeface="Times New Roman" pitchFamily="18" charset="0"/>
                    </a:endParaRPr>
                  </a:p>
                </c:rich>
              </c:tx>
              <c:showLegendKey val="0"/>
              <c:showVal val="1"/>
              <c:showCatName val="0"/>
              <c:showSerName val="0"/>
              <c:showPercent val="0"/>
              <c:showBubbleSize val="0"/>
            </c:dLbl>
            <c:txPr>
              <a:bodyPr/>
              <a:lstStyle/>
              <a:p>
                <a:pPr>
                  <a:defRPr lang="ru-RU"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698</c:v>
                </c:pt>
                <c:pt idx="1">
                  <c:v>1249</c:v>
                </c:pt>
                <c:pt idx="2">
                  <c:v>790</c:v>
                </c:pt>
                <c:pt idx="3">
                  <c:v>1824</c:v>
                </c:pt>
                <c:pt idx="4">
                  <c:v>1574</c:v>
                </c:pt>
              </c:numCache>
            </c:numRef>
          </c:val>
        </c:ser>
        <c:ser>
          <c:idx val="2"/>
          <c:order val="2"/>
          <c:tx>
            <c:strRef>
              <c:f>Лист1!$D$1</c:f>
              <c:strCache>
                <c:ptCount val="1"/>
                <c:pt idx="0">
                  <c:v>Відсоток</c:v>
                </c:pt>
              </c:strCache>
            </c:strRef>
          </c:tx>
          <c:spPr>
            <a:solidFill>
              <a:srgbClr val="7030A0"/>
            </a:solidFill>
          </c:spPr>
          <c:invertIfNegative val="0"/>
          <c:dLbls>
            <c:dLbl>
              <c:idx val="0"/>
              <c:layout>
                <c:manualLayout>
                  <c:x val="3.5969109630526956E-2"/>
                  <c:y val="-2.2726812762862491E-2"/>
                </c:manualLayout>
              </c:layout>
              <c:tx>
                <c:rich>
                  <a:bodyPr/>
                  <a:lstStyle/>
                  <a:p>
                    <a:r>
                      <a:rPr lang="en-US" sz="1100" dirty="0" smtClean="0"/>
                      <a:t>98,2</a:t>
                    </a:r>
                    <a:r>
                      <a:rPr lang="ru-RU" sz="1100" dirty="0" smtClean="0"/>
                      <a:t>%</a:t>
                    </a:r>
                    <a:endParaRPr lang="en-US" sz="1100" dirty="0"/>
                  </a:p>
                </c:rich>
              </c:tx>
              <c:showLegendKey val="0"/>
              <c:showVal val="1"/>
              <c:showCatName val="0"/>
              <c:showSerName val="0"/>
              <c:showPercent val="0"/>
              <c:showBubbleSize val="0"/>
            </c:dLbl>
            <c:dLbl>
              <c:idx val="1"/>
              <c:layout>
                <c:manualLayout>
                  <c:x val="2.5926290463692041E-2"/>
                  <c:y val="-6.2840606674830962E-2"/>
                </c:manualLayout>
              </c:layout>
              <c:tx>
                <c:rich>
                  <a:bodyPr/>
                  <a:lstStyle/>
                  <a:p>
                    <a:r>
                      <a:rPr lang="en-US" sz="1100" dirty="0" smtClean="0"/>
                      <a:t>43,7</a:t>
                    </a:r>
                    <a:r>
                      <a:rPr lang="ru-RU" sz="1100" dirty="0" smtClean="0"/>
                      <a:t>%</a:t>
                    </a:r>
                    <a:endParaRPr lang="en-US" sz="1100" dirty="0"/>
                  </a:p>
                </c:rich>
              </c:tx>
              <c:showLegendKey val="0"/>
              <c:showVal val="1"/>
              <c:showCatName val="0"/>
              <c:showSerName val="0"/>
              <c:showPercent val="0"/>
              <c:showBubbleSize val="0"/>
            </c:dLbl>
            <c:dLbl>
              <c:idx val="2"/>
              <c:layout>
                <c:manualLayout>
                  <c:x val="3.1481736657918077E-2"/>
                  <c:y val="-2.8327196780569552E-2"/>
                </c:manualLayout>
              </c:layout>
              <c:tx>
                <c:rich>
                  <a:bodyPr/>
                  <a:lstStyle/>
                  <a:p>
                    <a:r>
                      <a:rPr lang="en-US" sz="1100" dirty="0" smtClean="0"/>
                      <a:t>36,8</a:t>
                    </a:r>
                    <a:r>
                      <a:rPr lang="ru-RU" sz="1100" dirty="0" smtClean="0"/>
                      <a:t>%</a:t>
                    </a:r>
                    <a:endParaRPr lang="en-US" sz="1100" dirty="0"/>
                  </a:p>
                </c:rich>
              </c:tx>
              <c:showLegendKey val="0"/>
              <c:showVal val="1"/>
              <c:showCatName val="0"/>
              <c:showSerName val="0"/>
              <c:showPercent val="0"/>
              <c:showBubbleSize val="0"/>
            </c:dLbl>
            <c:dLbl>
              <c:idx val="3"/>
              <c:layout>
                <c:manualLayout>
                  <c:x val="3.2870734908136481E-2"/>
                  <c:y val="-8.5307148930657273E-3"/>
                </c:manualLayout>
              </c:layout>
              <c:tx>
                <c:rich>
                  <a:bodyPr/>
                  <a:lstStyle/>
                  <a:p>
                    <a:r>
                      <a:rPr lang="en-US" sz="1100" dirty="0" smtClean="0"/>
                      <a:t>86,0</a:t>
                    </a:r>
                    <a:r>
                      <a:rPr lang="ru-RU" sz="1100" dirty="0" smtClean="0"/>
                      <a:t>%</a:t>
                    </a:r>
                    <a:endParaRPr lang="en-US" sz="1100" dirty="0"/>
                  </a:p>
                </c:rich>
              </c:tx>
              <c:showLegendKey val="0"/>
              <c:showVal val="1"/>
              <c:showCatName val="0"/>
              <c:showSerName val="0"/>
              <c:showPercent val="0"/>
              <c:showBubbleSize val="0"/>
            </c:dLbl>
            <c:dLbl>
              <c:idx val="4"/>
              <c:layout>
                <c:manualLayout>
                  <c:x val="3.888888888888889E-2"/>
                  <c:y val="5.0793539061832187E-3"/>
                </c:manualLayout>
              </c:layout>
              <c:tx>
                <c:rich>
                  <a:bodyPr/>
                  <a:lstStyle/>
                  <a:p>
                    <a:r>
                      <a:rPr lang="en-US" sz="1100" dirty="0" smtClean="0"/>
                      <a:t>57,4</a:t>
                    </a:r>
                    <a:r>
                      <a:rPr lang="ru-RU" sz="1100" dirty="0" smtClean="0"/>
                      <a:t>%</a:t>
                    </a:r>
                    <a:endParaRPr lang="en-US" sz="1100" dirty="0"/>
                  </a:p>
                </c:rich>
              </c:tx>
              <c:showLegendKey val="0"/>
              <c:showVal val="1"/>
              <c:showCatName val="0"/>
              <c:showSerName val="0"/>
              <c:showPercent val="0"/>
              <c:showBubbleSize val="0"/>
            </c:dLbl>
            <c:txPr>
              <a:bodyPr/>
              <a:lstStyle/>
              <a:p>
                <a:pPr>
                  <a:defRPr lang="ru-RU"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Лист1!$A$2:$A$6</c:f>
              <c:numCache>
                <c:formatCode>General</c:formatCode>
                <c:ptCount val="5"/>
                <c:pt idx="0">
                  <c:v>2016</c:v>
                </c:pt>
                <c:pt idx="1">
                  <c:v>2017</c:v>
                </c:pt>
                <c:pt idx="2">
                  <c:v>2018</c:v>
                </c:pt>
                <c:pt idx="3">
                  <c:v>2019</c:v>
                </c:pt>
                <c:pt idx="4">
                  <c:v>2020</c:v>
                </c:pt>
              </c:numCache>
            </c:numRef>
          </c:cat>
          <c:val>
            <c:numRef>
              <c:f>Лист1!$D$2:$D$6</c:f>
              <c:numCache>
                <c:formatCode>General</c:formatCode>
                <c:ptCount val="5"/>
                <c:pt idx="0">
                  <c:v>98.2</c:v>
                </c:pt>
                <c:pt idx="1">
                  <c:v>43.7</c:v>
                </c:pt>
                <c:pt idx="2">
                  <c:v>36.800000000000004</c:v>
                </c:pt>
                <c:pt idx="3" formatCode="0.0">
                  <c:v>86</c:v>
                </c:pt>
                <c:pt idx="4">
                  <c:v>57.4</c:v>
                </c:pt>
              </c:numCache>
            </c:numRef>
          </c:val>
        </c:ser>
        <c:dLbls>
          <c:showLegendKey val="0"/>
          <c:showVal val="0"/>
          <c:showCatName val="0"/>
          <c:showSerName val="0"/>
          <c:showPercent val="0"/>
          <c:showBubbleSize val="0"/>
        </c:dLbls>
        <c:gapWidth val="150"/>
        <c:shape val="pyramid"/>
        <c:axId val="110811392"/>
        <c:axId val="110841856"/>
        <c:axId val="0"/>
      </c:bar3DChart>
      <c:catAx>
        <c:axId val="110811392"/>
        <c:scaling>
          <c:orientation val="minMax"/>
        </c:scaling>
        <c:delete val="0"/>
        <c:axPos val="b"/>
        <c:numFmt formatCode="General" sourceLinked="1"/>
        <c:majorTickMark val="out"/>
        <c:minorTickMark val="none"/>
        <c:tickLblPos val="nextTo"/>
        <c:txPr>
          <a:bodyPr/>
          <a:lstStyle/>
          <a:p>
            <a:pPr>
              <a:defRPr lang="ru-RU" sz="1100" b="1">
                <a:latin typeface="Times New Roman" pitchFamily="18" charset="0"/>
                <a:cs typeface="Times New Roman" pitchFamily="18" charset="0"/>
              </a:defRPr>
            </a:pPr>
            <a:endParaRPr lang="ru-RU"/>
          </a:p>
        </c:txPr>
        <c:crossAx val="110841856"/>
        <c:crosses val="autoZero"/>
        <c:auto val="1"/>
        <c:lblAlgn val="ctr"/>
        <c:lblOffset val="100"/>
        <c:noMultiLvlLbl val="0"/>
      </c:catAx>
      <c:valAx>
        <c:axId val="110841856"/>
        <c:scaling>
          <c:orientation val="minMax"/>
        </c:scaling>
        <c:delete val="1"/>
        <c:axPos val="l"/>
        <c:numFmt formatCode="General" sourceLinked="1"/>
        <c:majorTickMark val="out"/>
        <c:minorTickMark val="none"/>
        <c:tickLblPos val="nextTo"/>
        <c:crossAx val="110811392"/>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spPr>
        <a:solidFill>
          <a:schemeClr val="accent3">
            <a:lumMod val="60000"/>
            <a:lumOff val="40000"/>
          </a:schemeClr>
        </a:solidFill>
      </c:spPr>
    </c:floor>
    <c:sideWall>
      <c:thickness val="0"/>
      <c:spPr>
        <a:noFill/>
        <a:ln w="25400">
          <a:noFill/>
        </a:ln>
      </c:spPr>
    </c:sideWall>
    <c:backWall>
      <c:thickness val="0"/>
      <c:spPr>
        <a:noFill/>
        <a:ln w="25400">
          <a:noFill/>
        </a:ln>
      </c:spPr>
    </c:backWall>
    <c:plotArea>
      <c:layout/>
      <c:bar3DChart>
        <c:barDir val="col"/>
        <c:grouping val="stacked"/>
        <c:varyColors val="0"/>
        <c:ser>
          <c:idx val="3"/>
          <c:order val="3"/>
          <c:tx>
            <c:strRef>
              <c:f>Лист1!$B$1</c:f>
            </c:strRef>
          </c:tx>
          <c:spPr>
            <a:solidFill>
              <a:schemeClr val="accent3">
                <a:lumMod val="60000"/>
                <a:lumOff val="40000"/>
              </a:schemeClr>
            </a:solidFill>
          </c:spPr>
          <c:invertIfNegative val="0"/>
          <c:cat>
            <c:multiLvlStrRef>
              <c:f>Лист1!$A$2:$A$16</c:f>
            </c:multiLvlStrRef>
          </c:cat>
          <c:val>
            <c:numRef>
              <c:f>Лист1!$B$2:$B$16</c:f>
            </c:numRef>
          </c:val>
        </c:ser>
        <c:ser>
          <c:idx val="4"/>
          <c:order val="4"/>
          <c:tx>
            <c:strRef>
              <c:f>Лист1!$C$1</c:f>
            </c:strRef>
          </c:tx>
          <c:spPr>
            <a:solidFill>
              <a:srgbClr val="FFFF00"/>
            </a:solidFill>
          </c:spPr>
          <c:invertIfNegative val="0"/>
          <c:cat>
            <c:multiLvlStrRef>
              <c:f>Лист1!$A$2:$A$16</c:f>
            </c:multiLvlStrRef>
          </c:cat>
          <c:val>
            <c:numRef>
              <c:f>Лист1!$C$2:$C$16</c:f>
            </c:numRef>
          </c:val>
        </c:ser>
        <c:ser>
          <c:idx val="5"/>
          <c:order val="5"/>
          <c:tx>
            <c:strRef>
              <c:f>Лист1!$D$1</c:f>
            </c:strRef>
          </c:tx>
          <c:invertIfNegative val="0"/>
          <c:cat>
            <c:multiLvlStrRef>
              <c:f>Лист1!$A$2:$A$16</c:f>
            </c:multiLvlStrRef>
          </c:cat>
          <c:val>
            <c:numRef>
              <c:f>Лист1!$D$2:$D$16</c:f>
            </c:numRef>
          </c:val>
        </c:ser>
        <c:ser>
          <c:idx val="6"/>
          <c:order val="6"/>
          <c:tx>
            <c:strRef>
              <c:f>Лист1!$B$1</c:f>
            </c:strRef>
          </c:tx>
          <c:invertIfNegative val="0"/>
          <c:cat>
            <c:multiLvlStrRef>
              <c:f>Лист1!$A$2:$A$9</c:f>
            </c:multiLvlStrRef>
          </c:cat>
          <c:val>
            <c:numRef>
              <c:f>Лист1!$B$2:$B$9</c:f>
            </c:numRef>
          </c:val>
        </c:ser>
        <c:ser>
          <c:idx val="7"/>
          <c:order val="7"/>
          <c:tx>
            <c:strRef>
              <c:f>Лист1!$C$1</c:f>
            </c:strRef>
          </c:tx>
          <c:invertIfNegative val="0"/>
          <c:cat>
            <c:multiLvlStrRef>
              <c:f>Лист1!$A$2:$A$9</c:f>
            </c:multiLvlStrRef>
          </c:cat>
          <c:val>
            <c:numRef>
              <c:f>Лист1!$C$2:$C$9</c:f>
            </c:numRef>
          </c:val>
        </c:ser>
        <c:ser>
          <c:idx val="8"/>
          <c:order val="8"/>
          <c:tx>
            <c:strRef>
              <c:f>Лист1!$D$1</c:f>
            </c:strRef>
          </c:tx>
          <c:invertIfNegative val="0"/>
          <c:cat>
            <c:multiLvlStrRef>
              <c:f>Лист1!$A$2:$A$9</c:f>
            </c:multiLvlStrRef>
          </c:cat>
          <c:val>
            <c:numRef>
              <c:f>Лист1!$D$2:$D$9</c:f>
            </c:numRef>
          </c:val>
        </c:ser>
        <c:ser>
          <c:idx val="9"/>
          <c:order val="9"/>
          <c:tx>
            <c:strRef>
              <c:f>Лист1!$B$1</c:f>
            </c:strRef>
          </c:tx>
          <c:spPr>
            <a:solidFill>
              <a:schemeClr val="accent4">
                <a:lumMod val="60000"/>
                <a:lumOff val="40000"/>
              </a:schemeClr>
            </a:solidFill>
          </c:spPr>
          <c:invertIfNegative val="0"/>
          <c:cat>
            <c:multiLvlStrRef>
              <c:f>Лист1!$A$2:$A$6</c:f>
            </c:multiLvlStrRef>
          </c:cat>
          <c:val>
            <c:numRef>
              <c:f>Лист1!$B$2:$B$6</c:f>
            </c:numRef>
          </c:val>
        </c:ser>
        <c:ser>
          <c:idx val="10"/>
          <c:order val="10"/>
          <c:tx>
            <c:strRef>
              <c:f>Лист1!$C$1</c:f>
            </c:strRef>
          </c:tx>
          <c:spPr>
            <a:solidFill>
              <a:srgbClr val="FF0000"/>
            </a:solidFill>
          </c:spPr>
          <c:invertIfNegative val="0"/>
          <c:cat>
            <c:multiLvlStrRef>
              <c:f>Лист1!$A$2:$A$6</c:f>
            </c:multiLvlStrRef>
          </c:cat>
          <c:val>
            <c:numRef>
              <c:f>Лист1!$C$2:$C$6</c:f>
            </c:numRef>
          </c:val>
        </c:ser>
        <c:ser>
          <c:idx val="11"/>
          <c:order val="11"/>
          <c:tx>
            <c:strRef>
              <c:f>Лист1!$D$1</c:f>
            </c:strRef>
          </c:tx>
          <c:spPr>
            <a:solidFill>
              <a:srgbClr val="7030A0"/>
            </a:solidFill>
          </c:spPr>
          <c:invertIfNegative val="0"/>
          <c:cat>
            <c:multiLvlStrRef>
              <c:f>Лист1!$A$2:$A$6</c:f>
            </c:multiLvlStrRef>
          </c:cat>
          <c:val>
            <c:numRef>
              <c:f>Лист1!$D$2:$D$6</c:f>
            </c:numRef>
          </c:val>
        </c:ser>
        <c:ser>
          <c:idx val="0"/>
          <c:order val="0"/>
          <c:tx>
            <c:strRef>
              <c:f>Лист1!$B$1</c:f>
              <c:strCache>
                <c:ptCount val="1"/>
                <c:pt idx="0">
                  <c:v>Столбец1</c:v>
                </c:pt>
              </c:strCache>
            </c:strRef>
          </c:tx>
          <c:spPr>
            <a:solidFill>
              <a:srgbClr val="C00000"/>
            </a:solidFill>
          </c:spPr>
          <c:invertIfNegative val="0"/>
          <c:dLbls>
            <c:dLbl>
              <c:idx val="0"/>
              <c:layout>
                <c:manualLayout>
                  <c:x val="7.1744592639710943E-3"/>
                  <c:y val="-5.6149738531068465E-2"/>
                </c:manualLayout>
              </c:layout>
              <c:showLegendKey val="0"/>
              <c:showVal val="1"/>
              <c:showCatName val="0"/>
              <c:showSerName val="0"/>
              <c:showPercent val="0"/>
              <c:showBubbleSize val="0"/>
            </c:dLbl>
            <c:dLbl>
              <c:idx val="1"/>
              <c:layout>
                <c:manualLayout>
                  <c:x val="7.1744592639710943E-3"/>
                  <c:y val="-0.17647060681192991"/>
                </c:manualLayout>
              </c:layout>
              <c:showLegendKey val="0"/>
              <c:showVal val="1"/>
              <c:showCatName val="0"/>
              <c:showSerName val="0"/>
              <c:showPercent val="0"/>
              <c:showBubbleSize val="0"/>
            </c:dLbl>
            <c:dLbl>
              <c:idx val="2"/>
              <c:layout>
                <c:manualLayout>
                  <c:x val="1.2555303711949415E-2"/>
                  <c:y val="-7.2192520968517124E-2"/>
                </c:manualLayout>
              </c:layout>
              <c:showLegendKey val="0"/>
              <c:showVal val="1"/>
              <c:showCatName val="0"/>
              <c:showSerName val="0"/>
              <c:showPercent val="0"/>
              <c:showBubbleSize val="0"/>
            </c:dLbl>
            <c:dLbl>
              <c:idx val="3"/>
              <c:layout>
                <c:manualLayout>
                  <c:x val="-6.5765116862161004E-17"/>
                  <c:y val="-7.2192520968517096E-2"/>
                </c:manualLayout>
              </c:layout>
              <c:showLegendKey val="0"/>
              <c:showVal val="1"/>
              <c:showCatName val="0"/>
              <c:showSerName val="0"/>
              <c:showPercent val="0"/>
              <c:showBubbleSize val="0"/>
            </c:dLbl>
            <c:dLbl>
              <c:idx val="4"/>
              <c:layout>
                <c:manualLayout>
                  <c:x val="3.5872296319856291E-3"/>
                  <c:y val="-0.1564171287651204"/>
                </c:manualLayout>
              </c:layout>
              <c:showLegendKey val="0"/>
              <c:showVal val="1"/>
              <c:showCatName val="0"/>
              <c:showSerName val="0"/>
              <c:showPercent val="0"/>
              <c:showBubbleSize val="0"/>
            </c:dLbl>
            <c:dLbl>
              <c:idx val="5"/>
              <c:layout>
                <c:manualLayout>
                  <c:x val="3.5872296319855641E-3"/>
                  <c:y val="-0.14438504193703341"/>
                </c:manualLayout>
              </c:layout>
              <c:showLegendKey val="0"/>
              <c:showVal val="1"/>
              <c:showCatName val="0"/>
              <c:showSerName val="0"/>
              <c:showPercent val="0"/>
              <c:showBubbleSize val="0"/>
            </c:dLbl>
            <c:dLbl>
              <c:idx val="6"/>
              <c:layout>
                <c:manualLayout>
                  <c:x val="1.0761688895956661E-2"/>
                  <c:y val="-0.20855617168682641"/>
                </c:manualLayout>
              </c:layout>
              <c:showLegendKey val="0"/>
              <c:showVal val="1"/>
              <c:showCatName val="0"/>
              <c:showSerName val="0"/>
              <c:showPercent val="0"/>
              <c:showBubbleSize val="0"/>
            </c:dLbl>
            <c:txPr>
              <a:bodyPr/>
              <a:lstStyle/>
              <a:p>
                <a:pPr>
                  <a:defRPr lang="ru-RU"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Лист1!$A$2:$A$8</c:f>
              <c:strCache>
                <c:ptCount val="7"/>
                <c:pt idx="0">
                  <c:v>Сільське господарство</c:v>
                </c:pt>
                <c:pt idx="1">
                  <c:v>Промисловість</c:v>
                </c:pt>
                <c:pt idx="2">
                  <c:v>Торгівля</c:v>
                </c:pt>
                <c:pt idx="3">
                  <c:v>Державне управління</c:v>
                </c:pt>
                <c:pt idx="4">
                  <c:v>Освіта</c:v>
                </c:pt>
                <c:pt idx="5">
                  <c:v>Охорона здоров'я</c:v>
                </c:pt>
                <c:pt idx="6">
                  <c:v>Інше</c:v>
                </c:pt>
              </c:strCache>
            </c:strRef>
          </c:cat>
          <c:val>
            <c:numRef>
              <c:f>Лист1!$B$2:$B$8</c:f>
              <c:numCache>
                <c:formatCode>General</c:formatCode>
                <c:ptCount val="7"/>
                <c:pt idx="0">
                  <c:v>248</c:v>
                </c:pt>
                <c:pt idx="1">
                  <c:v>3129</c:v>
                </c:pt>
                <c:pt idx="2">
                  <c:v>447</c:v>
                </c:pt>
                <c:pt idx="3">
                  <c:v>322</c:v>
                </c:pt>
                <c:pt idx="4">
                  <c:v>2404</c:v>
                </c:pt>
                <c:pt idx="5">
                  <c:v>1971</c:v>
                </c:pt>
                <c:pt idx="6">
                  <c:v>3207</c:v>
                </c:pt>
              </c:numCache>
            </c:numRef>
          </c:val>
        </c:ser>
        <c:ser>
          <c:idx val="1"/>
          <c:order val="1"/>
          <c:tx>
            <c:strRef>
              <c:f>Лист1!$C$1</c:f>
              <c:strCache>
                <c:ptCount val="1"/>
                <c:pt idx="0">
                  <c:v>Ряд 2</c:v>
                </c:pt>
              </c:strCache>
            </c:strRef>
          </c:tx>
          <c:invertIfNegative val="0"/>
          <c:cat>
            <c:strRef>
              <c:f>Лист1!$A$2:$A$8</c:f>
              <c:strCache>
                <c:ptCount val="7"/>
                <c:pt idx="0">
                  <c:v>Сільське господарство</c:v>
                </c:pt>
                <c:pt idx="1">
                  <c:v>Промисловість</c:v>
                </c:pt>
                <c:pt idx="2">
                  <c:v>Торгівля</c:v>
                </c:pt>
                <c:pt idx="3">
                  <c:v>Державне управління</c:v>
                </c:pt>
                <c:pt idx="4">
                  <c:v>Освіта</c:v>
                </c:pt>
                <c:pt idx="5">
                  <c:v>Охорона здоров'я</c:v>
                </c:pt>
                <c:pt idx="6">
                  <c:v>Інше</c:v>
                </c:pt>
              </c:strCache>
            </c:strRef>
          </c:cat>
          <c:val>
            <c:numRef>
              <c:f>Лист1!$C$2:$C$8</c:f>
            </c:numRef>
          </c:val>
          <c:shape val="box"/>
        </c:ser>
        <c:ser>
          <c:idx val="2"/>
          <c:order val="2"/>
          <c:tx>
            <c:strRef>
              <c:f>Лист1!$D$1</c:f>
              <c:strCache>
                <c:ptCount val="1"/>
                <c:pt idx="0">
                  <c:v>Ряд 3</c:v>
                </c:pt>
              </c:strCache>
            </c:strRef>
          </c:tx>
          <c:invertIfNegative val="0"/>
          <c:cat>
            <c:strRef>
              <c:f>Лист1!$A$2:$A$8</c:f>
              <c:strCache>
                <c:ptCount val="7"/>
                <c:pt idx="0">
                  <c:v>Сільське господарство</c:v>
                </c:pt>
                <c:pt idx="1">
                  <c:v>Промисловість</c:v>
                </c:pt>
                <c:pt idx="2">
                  <c:v>Торгівля</c:v>
                </c:pt>
                <c:pt idx="3">
                  <c:v>Державне управління</c:v>
                </c:pt>
                <c:pt idx="4">
                  <c:v>Освіта</c:v>
                </c:pt>
                <c:pt idx="5">
                  <c:v>Охорона здоров'я</c:v>
                </c:pt>
                <c:pt idx="6">
                  <c:v>Інше</c:v>
                </c:pt>
              </c:strCache>
            </c:strRef>
          </c:cat>
          <c:val>
            <c:numRef>
              <c:f>Лист1!$D$2:$D$8</c:f>
            </c:numRef>
          </c:val>
          <c:shape val="box"/>
        </c:ser>
        <c:dLbls>
          <c:showLegendKey val="0"/>
          <c:showVal val="0"/>
          <c:showCatName val="0"/>
          <c:showSerName val="0"/>
          <c:showPercent val="0"/>
          <c:showBubbleSize val="0"/>
        </c:dLbls>
        <c:gapWidth val="150"/>
        <c:shape val="cylinder"/>
        <c:axId val="110891776"/>
        <c:axId val="110893312"/>
        <c:axId val="0"/>
      </c:bar3DChart>
      <c:catAx>
        <c:axId val="110891776"/>
        <c:scaling>
          <c:orientation val="minMax"/>
        </c:scaling>
        <c:delete val="0"/>
        <c:axPos val="b"/>
        <c:majorTickMark val="out"/>
        <c:minorTickMark val="none"/>
        <c:tickLblPos val="nextTo"/>
        <c:txPr>
          <a:bodyPr/>
          <a:lstStyle/>
          <a:p>
            <a:pPr>
              <a:defRPr lang="ru-RU" sz="1100" b="1">
                <a:latin typeface="Times New Roman" pitchFamily="18" charset="0"/>
                <a:cs typeface="Times New Roman" pitchFamily="18" charset="0"/>
              </a:defRPr>
            </a:pPr>
            <a:endParaRPr lang="ru-RU"/>
          </a:p>
        </c:txPr>
        <c:crossAx val="110893312"/>
        <c:crosses val="autoZero"/>
        <c:auto val="1"/>
        <c:lblAlgn val="ctr"/>
        <c:lblOffset val="100"/>
        <c:noMultiLvlLbl val="0"/>
      </c:catAx>
      <c:valAx>
        <c:axId val="110893312"/>
        <c:scaling>
          <c:orientation val="minMax"/>
        </c:scaling>
        <c:delete val="1"/>
        <c:axPos val="l"/>
        <c:numFmt formatCode="General" sourceLinked="1"/>
        <c:majorTickMark val="out"/>
        <c:minorTickMark val="none"/>
        <c:tickLblPos val="nextTo"/>
        <c:crossAx val="110891776"/>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6.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Рисунок 1"/>
        <cdr:cNvPicPr/>
      </cdr:nvPicPr>
      <cdr:blipFill>
        <a:blip xmlns:a="http://schemas.openxmlformats.org/drawingml/2006/main" xmlns:r="http://schemas.openxmlformats.org/officeDocument/2006/relationships" r:embed="rId1"/>
        <a:srcRect xmlns:a="http://schemas.openxmlformats.org/drawingml/2006/main" l="810" t="16078" b="6231"/>
        <a:stretch xmlns:a="http://schemas.openxmlformats.org/drawingml/2006/main">
          <a:fillRect/>
        </a:stretch>
      </cdr:blipFill>
      <cdr:spPr bwMode="auto">
        <a:xfrm xmlns:a="http://schemas.openxmlformats.org/drawingml/2006/main">
          <a:off x="0" y="0"/>
          <a:ext cx="9143999" cy="5214950"/>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0.96329</cdr:x>
      <cdr:y>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600000" cy="3438095"/>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14300" y="0"/>
          <a:ext cx="5813425" cy="3040380"/>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4A54F-754A-493B-868B-003EC8989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1395</TotalTime>
  <Pages>23</Pages>
  <Words>6248</Words>
  <Characters>35618</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Економіка</dc:creator>
  <cp:lastModifiedBy>Olga</cp:lastModifiedBy>
  <cp:revision>34</cp:revision>
  <cp:lastPrinted>2021-09-01T06:23:00Z</cp:lastPrinted>
  <dcterms:created xsi:type="dcterms:W3CDTF">2021-08-27T10:38:00Z</dcterms:created>
  <dcterms:modified xsi:type="dcterms:W3CDTF">2021-10-27T12:24:00Z</dcterms:modified>
</cp:coreProperties>
</file>