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E0" w:rsidRDefault="004526E0" w:rsidP="004526E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ІНФОРМАЦІЙНЕ ПОВІДОМЛЕННЯ</w:t>
      </w:r>
    </w:p>
    <w:p w:rsidR="004526E0" w:rsidRDefault="004526E0" w:rsidP="004526E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1"/>
          <w:szCs w:val="21"/>
        </w:rPr>
      </w:pPr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  <w:shd w:val="clear" w:color="auto" w:fill="FFFFFF"/>
        </w:rPr>
        <w:t xml:space="preserve">про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  <w:shd w:val="clear" w:color="auto" w:fill="FFFFFF"/>
        </w:rPr>
        <w:t>громадського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  <w:shd w:val="clear" w:color="auto" w:fill="FFFFFF"/>
        </w:rPr>
        <w:t>обговорення</w:t>
      </w:r>
      <w:proofErr w:type="spellEnd"/>
    </w:p>
    <w:p w:rsidR="004526E0" w:rsidRDefault="004526E0" w:rsidP="004526E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  <w:sz w:val="21"/>
          <w:szCs w:val="21"/>
        </w:rPr>
      </w:pP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щодо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перейменування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вулиць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провулків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населених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пунктів</w:t>
      </w:r>
      <w:proofErr w:type="spellEnd"/>
      <w:proofErr w:type="gram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Х</w:t>
      </w:r>
      <w:proofErr w:type="gram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мільницької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міської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територіальної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громади</w:t>
      </w:r>
      <w:proofErr w:type="spellEnd"/>
    </w:p>
    <w:p w:rsidR="004526E0" w:rsidRDefault="004526E0" w:rsidP="004526E0">
      <w:pPr>
        <w:pStyle w:val="a3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3B4256"/>
          <w:sz w:val="21"/>
          <w:szCs w:val="21"/>
        </w:rPr>
      </w:pPr>
      <w:r>
        <w:rPr>
          <w:rFonts w:ascii="Arial" w:hAnsi="Arial" w:cs="Arial"/>
          <w:color w:val="3B4256"/>
          <w:sz w:val="21"/>
          <w:szCs w:val="21"/>
        </w:rPr>
        <w:t> </w:t>
      </w:r>
    </w:p>
    <w:p w:rsidR="004526E0" w:rsidRDefault="004526E0" w:rsidP="004526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Виконавчий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комітет</w:t>
      </w:r>
      <w:proofErr w:type="spellEnd"/>
      <w:proofErr w:type="gram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Х</w:t>
      </w:r>
      <w:proofErr w:type="gram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мільницької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міської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ради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Вінницької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області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інформує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про початок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проведення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громадського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обговорення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пропозицій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щодо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перейменування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вулиць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провулків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населених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пунктів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Хмільницької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міської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територіальної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громади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.</w:t>
      </w:r>
    </w:p>
    <w:p w:rsidR="004526E0" w:rsidRDefault="004526E0" w:rsidP="004526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1"/>
          <w:szCs w:val="21"/>
        </w:rPr>
      </w:pP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Згідно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постановою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Кабінету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Міні</w:t>
      </w:r>
      <w:proofErr w:type="gram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стр</w:t>
      </w:r>
      <w:proofErr w:type="gram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ів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України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від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24.10.2012р. №989 «</w:t>
      </w:r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Про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затвердження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Порядку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проведення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громадського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обговорення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під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розгляду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питань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присвоєння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юридичним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особам та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об’єктам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права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власності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які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за ними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закріплені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об’єктам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права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власності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які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належать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фізичним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особам,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імен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(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псевдонімів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)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фізичних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осіб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ювілейних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святкових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дат,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назв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і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дат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історичних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подій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»</w:t>
      </w:r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відповідно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протокольних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рекомендацій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 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Комісії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з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питань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перегляду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топонімічних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назв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вулиць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провулків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інших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об'єктів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міського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господарства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увічнення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пам'яті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видатних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діячів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і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подій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встановлення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або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демонтажу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пам’ятних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знаків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територ</w:t>
      </w:r>
      <w:proofErr w:type="gram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ії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Х</w:t>
      </w:r>
      <w:proofErr w:type="gram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мільницької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міської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територіальної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громади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керуючись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розпорядженням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міського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голови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від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31.10.2022 №468-р «</w:t>
      </w:r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Про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проведення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громадського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обговорення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щодо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перейменування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вулиць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провулків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населених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пунктів</w:t>
      </w:r>
      <w:proofErr w:type="spellEnd"/>
      <w:proofErr w:type="gram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Х</w:t>
      </w:r>
      <w:proofErr w:type="gram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мільницької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міської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територіальної</w:t>
      </w:r>
      <w:proofErr w:type="spellEnd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3B4256"/>
          <w:sz w:val="36"/>
          <w:szCs w:val="36"/>
          <w:bdr w:val="none" w:sz="0" w:space="0" w:color="auto" w:frame="1"/>
        </w:rPr>
        <w:t>громади</w:t>
      </w:r>
      <w:proofErr w:type="spellEnd"/>
      <w:r>
        <w:rPr>
          <w:rFonts w:ascii="Arial" w:hAnsi="Arial" w:cs="Arial"/>
          <w:color w:val="3B4256"/>
          <w:sz w:val="36"/>
          <w:szCs w:val="36"/>
          <w:bdr w:val="none" w:sz="0" w:space="0" w:color="auto" w:frame="1"/>
        </w:rPr>
        <w:t>» 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пропонується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перейменувати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44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вулиці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провулки</w:t>
      </w:r>
      <w:proofErr w:type="spellEnd"/>
      <w:r>
        <w:rPr>
          <w:rStyle w:val="a4"/>
          <w:rFonts w:ascii="Arial" w:hAnsi="Arial" w:cs="Arial"/>
          <w:color w:val="3B4256"/>
          <w:sz w:val="36"/>
          <w:szCs w:val="36"/>
          <w:bdr w:val="none" w:sz="0" w:space="0" w:color="auto" w:frame="1"/>
        </w:rPr>
        <w:t>:</w:t>
      </w:r>
    </w:p>
    <w:p w:rsidR="004526E0" w:rsidRPr="004526E0" w:rsidRDefault="004526E0" w:rsidP="00452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E0" w:rsidRPr="004526E0" w:rsidRDefault="004526E0" w:rsidP="00452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3145"/>
        <w:gridCol w:w="5781"/>
      </w:tblGrid>
      <w:tr w:rsidR="004526E0" w:rsidRPr="004526E0" w:rsidTr="004526E0">
        <w:trPr>
          <w:trHeight w:val="81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№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з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/</w:t>
            </w:r>
            <w:proofErr w:type="spellStart"/>
            <w:proofErr w:type="gram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Назва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вулиці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/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провулку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Пропозиції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для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перейменування</w:t>
            </w:r>
            <w:proofErr w:type="spellEnd"/>
          </w:p>
        </w:tc>
      </w:tr>
      <w:tr w:rsidR="004526E0" w:rsidRPr="004526E0" w:rsidTr="004526E0">
        <w:trPr>
          <w:trHeight w:val="402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місто</w:t>
            </w:r>
            <w:proofErr w:type="spellEnd"/>
            <w:proofErr w:type="gram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Х</w:t>
            </w:r>
            <w:proofErr w:type="gram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мільник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. 9</w:t>
            </w:r>
            <w:proofErr w:type="gram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С</w:t>
            </w:r>
            <w:proofErr w:type="gram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ічня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Старицького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Михайла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. Кутузова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Українця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Владислава</w:t>
            </w:r>
          </w:p>
        </w:tc>
      </w:tr>
      <w:tr w:rsidR="004526E0" w:rsidRPr="004526E0" w:rsidTr="004526E0">
        <w:trPr>
          <w:trHeight w:val="4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. Кутузова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Українця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Владислава</w:t>
            </w:r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Ватутіна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Кульчицького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Юрія</w:t>
            </w:r>
            <w:proofErr w:type="spellEnd"/>
          </w:p>
        </w:tc>
      </w:tr>
      <w:tr w:rsidR="004526E0" w:rsidRPr="004526E0" w:rsidTr="004526E0">
        <w:trPr>
          <w:trHeight w:val="4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Гагарі</w:t>
            </w:r>
            <w:proofErr w:type="gram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.</w:t>
            </w: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Каденюка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Леоніда</w:t>
            </w:r>
            <w:proofErr w:type="spellEnd"/>
          </w:p>
        </w:tc>
      </w:tr>
      <w:tr w:rsidR="004526E0" w:rsidRPr="004526E0" w:rsidTr="004526E0">
        <w:trPr>
          <w:trHeight w:val="4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Декабристі</w:t>
            </w:r>
            <w:proofErr w:type="gram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Білокур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Катерини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Декабристі</w:t>
            </w:r>
            <w:proofErr w:type="gram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proofErr w:type="gram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Б</w:t>
            </w:r>
            <w:proofErr w:type="gram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ілокур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Катерини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. Комарова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Корольова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Сергія</w:t>
            </w:r>
            <w:proofErr w:type="spellEnd"/>
          </w:p>
        </w:tc>
      </w:tr>
      <w:tr w:rsidR="004526E0" w:rsidRPr="004526E0" w:rsidTr="004526E0">
        <w:trPr>
          <w:trHeight w:val="83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Космодем’янської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Зої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Крушельницької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Соломії</w:t>
            </w:r>
            <w:proofErr w:type="spellEnd"/>
          </w:p>
        </w:tc>
      </w:tr>
      <w:tr w:rsidR="004526E0" w:rsidRPr="004526E0" w:rsidTr="004526E0">
        <w:trPr>
          <w:trHeight w:val="4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Кошового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Олега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Примаченко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Марії</w:t>
            </w:r>
            <w:proofErr w:type="spellEnd"/>
          </w:p>
        </w:tc>
      </w:tr>
      <w:tr w:rsidR="004526E0" w:rsidRPr="004526E0" w:rsidTr="004526E0">
        <w:trPr>
          <w:trHeight w:val="4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Нахімова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Куліша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Пантелеймона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Пушкіна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Чорновола</w:t>
            </w:r>
            <w:proofErr w:type="spellEnd"/>
            <w:proofErr w:type="gram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</w:t>
            </w:r>
            <w:proofErr w:type="gram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'ячеслава</w:t>
            </w:r>
            <w:proofErr w:type="spellEnd"/>
          </w:p>
        </w:tc>
      </w:tr>
      <w:tr w:rsidR="004526E0" w:rsidRPr="004526E0" w:rsidTr="004526E0">
        <w:trPr>
          <w:trHeight w:val="81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Пушкіна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1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Чорновола</w:t>
            </w:r>
            <w:proofErr w:type="spellEnd"/>
            <w:proofErr w:type="gram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</w:t>
            </w:r>
            <w:proofErr w:type="gram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'ячеслава</w:t>
            </w:r>
            <w:proofErr w:type="spellEnd"/>
          </w:p>
        </w:tc>
      </w:tr>
      <w:tr w:rsidR="004526E0" w:rsidRPr="004526E0" w:rsidTr="004526E0">
        <w:trPr>
          <w:trHeight w:val="81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Пушкіна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2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Чорновола</w:t>
            </w:r>
            <w:proofErr w:type="spellEnd"/>
            <w:proofErr w:type="gram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</w:t>
            </w:r>
            <w:proofErr w:type="gram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'ячеслава</w:t>
            </w:r>
            <w:proofErr w:type="spellEnd"/>
          </w:p>
        </w:tc>
      </w:tr>
      <w:tr w:rsidR="004526E0" w:rsidRPr="004526E0" w:rsidTr="004526E0">
        <w:trPr>
          <w:trHeight w:val="4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. Суворова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Кропивницького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Марка</w:t>
            </w:r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proofErr w:type="gram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Чайк</w:t>
            </w:r>
            <w:proofErr w:type="gram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іної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Лізи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Житня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. Чкалова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Вербова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вул.18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Армії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Миколи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Хвильового</w:t>
            </w:r>
            <w:proofErr w:type="spellEnd"/>
          </w:p>
        </w:tc>
      </w:tr>
      <w:tr w:rsidR="004526E0" w:rsidRPr="004526E0" w:rsidTr="004526E0">
        <w:trPr>
          <w:trHeight w:val="81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71 </w:t>
            </w:r>
            <w:proofErr w:type="spellStart"/>
            <w:proofErr w:type="gram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ілецької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дивізії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Героїв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УПА</w:t>
            </w:r>
          </w:p>
        </w:tc>
      </w:tr>
      <w:tr w:rsidR="004526E0" w:rsidRPr="004526E0" w:rsidTr="004526E0">
        <w:trPr>
          <w:trHeight w:val="83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276 </w:t>
            </w:r>
            <w:proofErr w:type="spellStart"/>
            <w:proofErr w:type="gram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ілецької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дивізії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Михайлівська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. Лермонтова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Гальчевського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 Якова</w:t>
            </w:r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. Лермонтова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Гальчевського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 Якова</w:t>
            </w:r>
          </w:p>
        </w:tc>
      </w:tr>
      <w:tr w:rsidR="004526E0" w:rsidRPr="004526E0" w:rsidTr="004526E0">
        <w:trPr>
          <w:trHeight w:val="4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Маліновського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Патона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Євгена</w:t>
            </w:r>
            <w:proofErr w:type="spellEnd"/>
          </w:p>
        </w:tc>
      </w:tr>
      <w:tr w:rsidR="004526E0" w:rsidRPr="004526E0" w:rsidTr="004526E0">
        <w:trPr>
          <w:trHeight w:val="4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Тімірязєва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Симоненка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Василя</w:t>
            </w:r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lastRenderedPageBreak/>
              <w:t>25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Тімірязєва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Симоненка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Василя</w:t>
            </w:r>
          </w:p>
        </w:tc>
      </w:tr>
      <w:tr w:rsidR="004526E0" w:rsidRPr="004526E0" w:rsidTr="004526E0">
        <w:trPr>
          <w:trHeight w:val="818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Тургенєва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Клодницького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Володимира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proofErr w:type="gram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М</w:t>
            </w:r>
            <w:proofErr w:type="gram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ічуріна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Симиренка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Левка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Маяковського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Івана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Багряного</w:t>
            </w:r>
          </w:p>
        </w:tc>
      </w:tr>
      <w:tr w:rsidR="004526E0" w:rsidRPr="004526E0" w:rsidTr="004526E0">
        <w:trPr>
          <w:trHeight w:val="4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Маяковського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Івана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Багряного</w:t>
            </w:r>
          </w:p>
        </w:tc>
      </w:tr>
      <w:tr w:rsidR="004526E0" w:rsidRPr="004526E0" w:rsidTr="004526E0">
        <w:trPr>
          <w:trHeight w:val="4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Волочаївська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Смакули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Олександра</w:t>
            </w:r>
            <w:proofErr w:type="spellEnd"/>
          </w:p>
        </w:tc>
      </w:tr>
      <w:tr w:rsidR="004526E0" w:rsidRPr="004526E0" w:rsidTr="004526E0">
        <w:trPr>
          <w:trHeight w:val="40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. Некрасова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вул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Лук’яненка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Левка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. Некрасова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пров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Лук’яненка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Левка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с.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Голодьки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Чапаєва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 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Замкова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Чапаєва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Замковий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с.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Кривошиї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Чапаєва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 Вишнева</w:t>
            </w:r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Жовтнева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Виноградна</w:t>
            </w:r>
            <w:proofErr w:type="spellEnd"/>
          </w:p>
        </w:tc>
      </w:tr>
      <w:tr w:rsidR="004526E0" w:rsidRPr="004526E0" w:rsidTr="004526E0">
        <w:trPr>
          <w:trHeight w:val="402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с.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Куманівці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Корнійчука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 </w:t>
            </w:r>
            <w:proofErr w:type="spellStart"/>
            <w:proofErr w:type="gram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</w:t>
            </w:r>
            <w:proofErr w:type="gram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ідліщина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Корнійчука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</w:t>
            </w:r>
            <w:proofErr w:type="gram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ідліщини</w:t>
            </w:r>
            <w:proofErr w:type="spellEnd"/>
          </w:p>
        </w:tc>
      </w:tr>
      <w:tr w:rsidR="004526E0" w:rsidRPr="004526E0" w:rsidTr="004526E0">
        <w:trPr>
          <w:trHeight w:val="41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Корнійчука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провулок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П</w:t>
            </w:r>
            <w:proofErr w:type="gram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ідліщини</w:t>
            </w:r>
            <w:proofErr w:type="spellEnd"/>
          </w:p>
        </w:tc>
      </w:tr>
      <w:tr w:rsidR="004526E0" w:rsidRPr="004526E0" w:rsidTr="004526E0">
        <w:trPr>
          <w:trHeight w:val="143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с.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Колибабинці</w:t>
            </w:r>
            <w:proofErr w:type="spellEnd"/>
          </w:p>
        </w:tc>
      </w:tr>
      <w:tr w:rsidR="004526E0" w:rsidRPr="004526E0" w:rsidTr="004526E0">
        <w:trPr>
          <w:trHeight w:val="14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Колгоспна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 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Сонячна</w:t>
            </w:r>
            <w:proofErr w:type="spellEnd"/>
          </w:p>
        </w:tc>
      </w:tr>
      <w:tr w:rsidR="004526E0" w:rsidRPr="004526E0" w:rsidTr="004526E0">
        <w:trPr>
          <w:trHeight w:val="14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Жовтнева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 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Молодіжна</w:t>
            </w:r>
            <w:proofErr w:type="spellEnd"/>
          </w:p>
        </w:tc>
      </w:tr>
      <w:tr w:rsidR="004526E0" w:rsidRPr="004526E0" w:rsidTr="004526E0">
        <w:trPr>
          <w:trHeight w:val="143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 xml:space="preserve">с.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Думенки</w:t>
            </w:r>
            <w:proofErr w:type="spellEnd"/>
          </w:p>
        </w:tc>
      </w:tr>
      <w:tr w:rsidR="004526E0" w:rsidRPr="004526E0" w:rsidTr="004526E0">
        <w:trPr>
          <w:trHeight w:val="14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Гайдара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 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Ланська</w:t>
            </w:r>
            <w:proofErr w:type="spellEnd"/>
          </w:p>
        </w:tc>
      </w:tr>
      <w:tr w:rsidR="004526E0" w:rsidRPr="004526E0" w:rsidTr="004526E0">
        <w:trPr>
          <w:trHeight w:val="143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lastRenderedPageBreak/>
              <w:t xml:space="preserve">с. 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Гулі</w:t>
            </w:r>
            <w:proofErr w:type="spellEnd"/>
          </w:p>
        </w:tc>
      </w:tr>
      <w:tr w:rsidR="004526E0" w:rsidRPr="004526E0" w:rsidTr="004526E0">
        <w:trPr>
          <w:trHeight w:val="14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Гайдара</w:t>
            </w:r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 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Ланська</w:t>
            </w:r>
            <w:proofErr w:type="spellEnd"/>
          </w:p>
        </w:tc>
      </w:tr>
      <w:tr w:rsidR="004526E0" w:rsidRPr="004526E0" w:rsidTr="004526E0">
        <w:trPr>
          <w:trHeight w:val="143"/>
        </w:trPr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gram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с</w:t>
            </w:r>
            <w:proofErr w:type="gram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. Журавне</w:t>
            </w:r>
          </w:p>
        </w:tc>
      </w:tr>
      <w:tr w:rsidR="004526E0" w:rsidRPr="004526E0" w:rsidTr="004526E0">
        <w:trPr>
          <w:trHeight w:val="143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Радгоспний</w:t>
            </w:r>
            <w:proofErr w:type="spellEnd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виселок</w:t>
            </w:r>
            <w:proofErr w:type="spellEnd"/>
          </w:p>
        </w:tc>
        <w:tc>
          <w:tcPr>
            <w:tcW w:w="5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  <w:hideMark/>
          </w:tcPr>
          <w:p w:rsidR="004526E0" w:rsidRPr="004526E0" w:rsidRDefault="004526E0" w:rsidP="004526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B4256"/>
                <w:sz w:val="21"/>
                <w:szCs w:val="21"/>
                <w:lang w:eastAsia="ru-RU"/>
              </w:rPr>
            </w:pPr>
            <w:proofErr w:type="spellStart"/>
            <w:r w:rsidRPr="004526E0">
              <w:rPr>
                <w:rFonts w:ascii="Arial" w:eastAsia="Times New Roman" w:hAnsi="Arial" w:cs="Arial"/>
                <w:color w:val="3B4256"/>
                <w:sz w:val="36"/>
                <w:szCs w:val="36"/>
                <w:bdr w:val="none" w:sz="0" w:space="0" w:color="auto" w:frame="1"/>
                <w:lang w:eastAsia="ru-RU"/>
              </w:rPr>
              <w:t>вулиця</w:t>
            </w:r>
            <w:proofErr w:type="spellEnd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 </w:t>
            </w:r>
            <w:proofErr w:type="spellStart"/>
            <w:r w:rsidRPr="004526E0">
              <w:rPr>
                <w:rFonts w:ascii="Arial" w:eastAsia="Times New Roman" w:hAnsi="Arial" w:cs="Arial"/>
                <w:b/>
                <w:bCs/>
                <w:color w:val="3B4256"/>
                <w:sz w:val="36"/>
                <w:lang w:eastAsia="ru-RU"/>
              </w:rPr>
              <w:t>Щаслива</w:t>
            </w:r>
            <w:proofErr w:type="spellEnd"/>
          </w:p>
        </w:tc>
      </w:tr>
    </w:tbl>
    <w:p w:rsidR="004526E0" w:rsidRDefault="004526E0" w:rsidP="004526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val="uk-UA" w:eastAsia="ru-RU"/>
        </w:rPr>
      </w:pPr>
    </w:p>
    <w:p w:rsidR="004526E0" w:rsidRPr="004526E0" w:rsidRDefault="004526E0" w:rsidP="004526E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Зауваження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пропозиції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подаються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письмовій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формі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надсилаються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електронною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поштою</w:t>
      </w:r>
      <w:proofErr w:type="spellEnd"/>
      <w:r w:rsidRPr="004526E0">
        <w:rPr>
          <w:rFonts w:ascii="Arial" w:eastAsia="Times New Roman" w:hAnsi="Arial" w:cs="Arial"/>
          <w:b/>
          <w:bCs/>
          <w:color w:val="3B4256"/>
          <w:sz w:val="36"/>
          <w:u w:val="single"/>
          <w:lang w:eastAsia="ru-RU"/>
        </w:rPr>
        <w:t xml:space="preserve"> по 30 </w:t>
      </w:r>
      <w:proofErr w:type="spellStart"/>
      <w:r w:rsidRPr="004526E0">
        <w:rPr>
          <w:rFonts w:ascii="Arial" w:eastAsia="Times New Roman" w:hAnsi="Arial" w:cs="Arial"/>
          <w:b/>
          <w:bCs/>
          <w:color w:val="3B4256"/>
          <w:sz w:val="36"/>
          <w:u w:val="single"/>
          <w:lang w:eastAsia="ru-RU"/>
        </w:rPr>
        <w:t>грудня</w:t>
      </w:r>
      <w:proofErr w:type="spellEnd"/>
      <w:r w:rsidRPr="004526E0">
        <w:rPr>
          <w:rFonts w:ascii="Arial" w:eastAsia="Times New Roman" w:hAnsi="Arial" w:cs="Arial"/>
          <w:b/>
          <w:bCs/>
          <w:color w:val="3B4256"/>
          <w:sz w:val="36"/>
          <w:u w:val="single"/>
          <w:lang w:eastAsia="ru-RU"/>
        </w:rPr>
        <w:t xml:space="preserve"> 2022 року </w:t>
      </w:r>
      <w:proofErr w:type="spellStart"/>
      <w:r w:rsidRPr="004526E0">
        <w:rPr>
          <w:rFonts w:ascii="Arial" w:eastAsia="Times New Roman" w:hAnsi="Arial" w:cs="Arial"/>
          <w:b/>
          <w:bCs/>
          <w:color w:val="3B4256"/>
          <w:sz w:val="36"/>
          <w:u w:val="single"/>
          <w:lang w:eastAsia="ru-RU"/>
        </w:rPr>
        <w:t>включно</w:t>
      </w:r>
      <w:proofErr w:type="spellEnd"/>
      <w:r w:rsidRPr="004526E0">
        <w:rPr>
          <w:rFonts w:ascii="Arial" w:eastAsia="Times New Roman" w:hAnsi="Arial" w:cs="Arial"/>
          <w:b/>
          <w:bCs/>
          <w:color w:val="3B4256"/>
          <w:sz w:val="36"/>
          <w:u w:val="single"/>
          <w:lang w:eastAsia="ru-RU"/>
        </w:rPr>
        <w:t> </w:t>
      </w:r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за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адресою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: 22000,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вул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Столярчука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, 10,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м</w:t>
      </w:r>
      <w:proofErr w:type="gram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.Х</w:t>
      </w:r>
      <w:proofErr w:type="gram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мільник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Хмільницький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район,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Вінницька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область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електронну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адресу :</w:t>
      </w:r>
      <w:hyperlink r:id="rId4" w:history="1">
        <w:r w:rsidRPr="004526E0">
          <w:rPr>
            <w:rFonts w:ascii="Arial" w:eastAsia="Times New Roman" w:hAnsi="Arial" w:cs="Arial"/>
            <w:color w:val="848E99"/>
            <w:sz w:val="36"/>
            <w:lang w:eastAsia="ru-RU"/>
          </w:rPr>
          <w:t>rada@ekhmilnyk.gov.ua</w:t>
        </w:r>
      </w:hyperlink>
    </w:p>
    <w:p w:rsidR="004526E0" w:rsidRDefault="004526E0" w:rsidP="004526E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val="uk-UA" w:eastAsia="ru-RU"/>
        </w:rPr>
      </w:pPr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val="uk-UA" w:eastAsia="ru-RU"/>
        </w:rPr>
        <w:t xml:space="preserve">Письмові пропозиції подаються з обґрунтуванням та зазначенням контактної інформації про ініціативну групу. </w:t>
      </w:r>
    </w:p>
    <w:p w:rsidR="004526E0" w:rsidRPr="004526E0" w:rsidRDefault="004526E0" w:rsidP="004526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val="uk-UA" w:eastAsia="ru-RU"/>
        </w:rPr>
        <w:tab/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проводилися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збори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громадян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, то до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інформації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додаються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протоколи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зборів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жителів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вулиць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/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провулкі</w:t>
      </w:r>
      <w:proofErr w:type="gram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в</w:t>
      </w:r>
      <w:proofErr w:type="spellEnd"/>
      <w:proofErr w:type="gram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.</w:t>
      </w:r>
    </w:p>
    <w:p w:rsidR="004526E0" w:rsidRPr="004526E0" w:rsidRDefault="004526E0" w:rsidP="004526E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У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темі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електронного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листа просимо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зазначити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 xml:space="preserve"> «</w:t>
      </w:r>
      <w:proofErr w:type="spellStart"/>
      <w:r w:rsidRPr="004526E0">
        <w:rPr>
          <w:rFonts w:ascii="Arial" w:eastAsia="Times New Roman" w:hAnsi="Arial" w:cs="Arial"/>
          <w:b/>
          <w:bCs/>
          <w:color w:val="3B4256"/>
          <w:sz w:val="36"/>
          <w:lang w:eastAsia="ru-RU"/>
        </w:rPr>
        <w:t>Перейменування</w:t>
      </w:r>
      <w:proofErr w:type="spellEnd"/>
      <w:r w:rsidRPr="004526E0">
        <w:rPr>
          <w:rFonts w:ascii="Arial" w:eastAsia="Times New Roman" w:hAnsi="Arial" w:cs="Arial"/>
          <w:b/>
          <w:bCs/>
          <w:color w:val="3B4256"/>
          <w:sz w:val="36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b/>
          <w:bCs/>
          <w:color w:val="3B4256"/>
          <w:sz w:val="36"/>
          <w:lang w:eastAsia="ru-RU"/>
        </w:rPr>
        <w:t>вулиць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lang w:eastAsia="ru-RU"/>
        </w:rPr>
        <w:t>».</w:t>
      </w:r>
    </w:p>
    <w:p w:rsidR="004526E0" w:rsidRPr="004526E0" w:rsidRDefault="004526E0" w:rsidP="004526E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Анонімні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пропозиції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 xml:space="preserve"> (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зауваження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 xml:space="preserve">) не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реєструються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і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 xml:space="preserve"> не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розглядаються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.</w:t>
      </w:r>
    </w:p>
    <w:p w:rsidR="004526E0" w:rsidRPr="004526E0" w:rsidRDefault="004526E0" w:rsidP="004526E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Консультації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надає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 xml:space="preserve"> управління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містобудування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 xml:space="preserve"> та </w:t>
      </w:r>
      <w:proofErr w:type="spellStart"/>
      <w:proofErr w:type="gram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арх</w:t>
      </w:r>
      <w:proofErr w:type="gram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ітектури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 xml:space="preserve"> </w:t>
      </w:r>
      <w:proofErr w:type="spellStart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>міської</w:t>
      </w:r>
      <w:proofErr w:type="spellEnd"/>
      <w:r w:rsidRPr="004526E0">
        <w:rPr>
          <w:rFonts w:ascii="Arial" w:eastAsia="Times New Roman" w:hAnsi="Arial" w:cs="Arial"/>
          <w:color w:val="3B4256"/>
          <w:sz w:val="36"/>
          <w:szCs w:val="36"/>
          <w:bdr w:val="none" w:sz="0" w:space="0" w:color="auto" w:frame="1"/>
          <w:shd w:val="clear" w:color="auto" w:fill="FCFCFC"/>
          <w:lang w:eastAsia="ru-RU"/>
        </w:rPr>
        <w:t xml:space="preserve"> ради за телефоном </w:t>
      </w:r>
      <w:r w:rsidRPr="004526E0">
        <w:rPr>
          <w:rFonts w:ascii="Arial" w:eastAsia="Times New Roman" w:hAnsi="Arial" w:cs="Arial"/>
          <w:b/>
          <w:bCs/>
          <w:color w:val="3B4256"/>
          <w:sz w:val="36"/>
          <w:lang w:eastAsia="ru-RU"/>
        </w:rPr>
        <w:t>(04338) 2-70-12.</w:t>
      </w:r>
    </w:p>
    <w:p w:rsidR="000A485D" w:rsidRDefault="000A485D"/>
    <w:sectPr w:rsidR="000A485D" w:rsidSect="00452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6E0"/>
    <w:rsid w:val="000A485D"/>
    <w:rsid w:val="004526E0"/>
    <w:rsid w:val="005F6170"/>
    <w:rsid w:val="006B2FDE"/>
    <w:rsid w:val="0078621D"/>
    <w:rsid w:val="00A8233C"/>
    <w:rsid w:val="00D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6E0"/>
    <w:rPr>
      <w:b/>
      <w:bCs/>
    </w:rPr>
  </w:style>
  <w:style w:type="character" w:styleId="a5">
    <w:name w:val="Hyperlink"/>
    <w:basedOn w:val="a0"/>
    <w:uiPriority w:val="99"/>
    <w:semiHidden/>
    <w:unhideWhenUsed/>
    <w:rsid w:val="004526E0"/>
    <w:rPr>
      <w:color w:val="0000FF"/>
      <w:u w:val="single"/>
    </w:rPr>
  </w:style>
  <w:style w:type="character" w:styleId="a6">
    <w:name w:val="Emphasis"/>
    <w:basedOn w:val="a0"/>
    <w:uiPriority w:val="20"/>
    <w:qFormat/>
    <w:rsid w:val="004526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@ekhmilny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2022-11-08T13:36:00Z</dcterms:created>
  <dcterms:modified xsi:type="dcterms:W3CDTF">2022-11-08T13:36:00Z</dcterms:modified>
</cp:coreProperties>
</file>