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9204" w:firstLine="708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lang w:bidi="ar-SA"/>
        </w:rPr>
        <w:t>Додаток</w:t>
      </w:r>
    </w:p>
    <w:p>
      <w:pPr>
        <w:pStyle w:val="Normal"/>
        <w:widowControl/>
        <w:ind w:left="9204" w:firstLine="708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lang w:bidi="ar-SA"/>
        </w:rPr>
        <w:t xml:space="preserve">до Антикорупційної програми </w:t>
      </w:r>
    </w:p>
    <w:p>
      <w:pPr>
        <w:pStyle w:val="Normal"/>
        <w:widowControl/>
        <w:ind w:left="9204" w:firstLine="708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lang w:bidi="ar-SA"/>
        </w:rPr>
        <w:t xml:space="preserve">Луцької міської ради на  </w:t>
        <w:tab/>
      </w:r>
    </w:p>
    <w:p>
      <w:pPr>
        <w:pStyle w:val="Normal"/>
        <w:widowControl/>
        <w:ind w:left="9204" w:firstLine="708"/>
        <w:jc w:val="both"/>
        <w:rPr/>
      </w:pPr>
      <w:r>
        <w:rPr>
          <w:rFonts w:eastAsia="Times New Roman" w:cs="Times New Roman" w:ascii="Times New Roman" w:hAnsi="Times New Roman"/>
          <w:lang w:bidi="ar-SA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lang w:bidi="ar-SA"/>
        </w:rPr>
        <w:t>2024-2026 роки (проєкт)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ТАБЛИЦЯ</w:t>
      </w:r>
    </w:p>
    <w:p>
      <w:pPr>
        <w:pStyle w:val="Normal"/>
        <w:widowControl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ідентифікованих, оцінених корупційних ризиків у діяльності Луцької міської ради та заходів щодо їх усунення (зменшення)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eastAsia="Times New Roman" w:cs="Times New Roman" w:ascii="Times New Roman" w:hAnsi="Times New Roman"/>
          <w:color w:val="auto"/>
          <w:lang w:bidi="ar-SA"/>
        </w:rPr>
      </w:r>
    </w:p>
    <w:tbl>
      <w:tblPr>
        <w:tblW w:w="15812" w:type="dxa"/>
        <w:jc w:val="left"/>
        <w:tblInd w:w="3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31"/>
        <w:gridCol w:w="3213"/>
        <w:gridCol w:w="1175"/>
        <w:gridCol w:w="3429"/>
        <w:gridCol w:w="2372"/>
        <w:gridCol w:w="1695"/>
        <w:gridCol w:w="1475"/>
        <w:gridCol w:w="1920"/>
      </w:tblGrid>
      <w:tr>
        <w:trPr>
          <w:trHeight w:val="169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№ 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Корупційний ризик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Пріорите тність корупцій ного ризику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Заходи щодо усунення корупційного ризику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Відповідальні за виконання заходів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Строк виконання заходів щодо усунення корупційного ризику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Ресурси для впровадження заходів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Очікувані результати</w:t>
            </w:r>
          </w:p>
        </w:tc>
      </w:tr>
      <w:tr>
        <w:trPr>
          <w:trHeight w:val="7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8</w:t>
            </w:r>
          </w:p>
        </w:tc>
      </w:tr>
      <w:tr>
        <w:trPr>
          <w:trHeight w:val="1979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внесення на розгляд постійних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комісій, пленарних</w:t>
            </w:r>
            <w:r>
              <w:rPr>
                <w:rFonts w:ascii="Calibri" w:hAnsi="Calibri" w:asciiTheme="minorHAnsi" w:hAnsiTheme="minorHAnsi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засідань, засідань</w:t>
            </w:r>
          </w:p>
          <w:p>
            <w:pPr>
              <w:pStyle w:val="Normal"/>
              <w:widowControl/>
              <w:ind w:left="57" w:right="5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виконавчого комітету Луцької міської ради проєктів рішень, що містять норми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корупціогенного характеру або які приймаються на користь окремих юридичних або фізичних осіб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Середня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Здійснення вибіркового моніторингу проєктів  рішень міської ради, виконавчого комітету щодо наявності в них норм  корупціогенного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характеру та підготовка пропозицій щодо їх усунення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Залучення громадськості до проведення антикорупційних експертиз проєктів рішень міської ради, виконавчого комітету, розгляд таких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антикорупційних експертиз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3. Контроль за ефективною роботою комісій, що формують тарифну політику, регуляторну діяльність органів місцевого самоврядування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Постійна комісія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Відділ з питань запобігання та виявлення корупції управління персоналу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Департамент економічної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політики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Постійно,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по мірі надходження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Постійно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color w:val="auto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Інвестиційна привабливість у діяльності Луцької міської ради</w:t>
            </w:r>
            <w:bookmarkStart w:id="0" w:name="_GoBack"/>
            <w:bookmarkEnd w:id="0"/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5812" w:type="dxa"/>
        <w:jc w:val="left"/>
        <w:tblInd w:w="3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31"/>
        <w:gridCol w:w="3213"/>
        <w:gridCol w:w="1175"/>
        <w:gridCol w:w="3429"/>
        <w:gridCol w:w="2372"/>
        <w:gridCol w:w="1695"/>
        <w:gridCol w:w="1475"/>
        <w:gridCol w:w="1920"/>
      </w:tblGrid>
      <w:tr>
        <w:trPr>
          <w:trHeight w:val="281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впливу на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міського голову,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депутатів, членів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виконавчого комітету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Луцької міської ради з боку третіх осіб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Розгляд інформації про факти можливого впливу на міського голову, депутатів Луцької міської ради на засіданні постійної комісії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Розгляд інформації про факти можливого впливу на членів виконавчого комітету Луцької міської ради відділом з питань запобігання та виявлення корупції управління персоналу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Постійна комісія міської ради з питань дотримання прав людини,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законності, боротьби зі злочинністю та корупцією, депутатської діяльності, етики та регламенту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bookmarkStart w:id="1" w:name="__DdeLink__15128_2364881847"/>
            <w:r>
              <w:rPr>
                <w:rFonts w:eastAsia="Times New Roman" w:cs="Times New Roman" w:ascii="Times New Roman" w:hAnsi="Times New Roman"/>
                <w:lang w:bidi="ar-SA"/>
              </w:rPr>
              <w:t>Відділ з питань запобігання та виявлення корупції управління персоналу</w:t>
            </w:r>
            <w:bookmarkEnd w:id="1"/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Під час надходження інформації, що може свідчити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про вплив на міського голову, депутатів, членів виконавчого комітету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</w:tc>
      </w:tr>
      <w:tr>
        <w:trPr>
          <w:trHeight w:val="239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невжиття своєчасних заходів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врегулювання реального чи потенційного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конфлікту інтересів під час прийняття рішень та участі в обговореннях питань на пленарних засіданнях, засіданнях постійних комісій,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виконавчого комітету Луцької міської ради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Розроблення та поширення інформаційних (роз’яснювальних) матеріалів щодо відповідальності та порядку дій у разі виникнення конфлікту інтересів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Проведення навчань для депутатів Луцької міської ради з метою ознайомлення з вимогами антикорупційного законодавства щодо врегулювання конфлікту інтересів</w:t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Розробити та затвердити порядок запобігання та врегулювання конфлікту інтересів у депутатів, членів виконавчого комітету та посадових осіб Луцької міської ради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4. Оперативне інформування про прийняті зміни до відповідного законодавства України 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Постійна комісія міської ради з питань дотримання прав людини, законності, боротьби зі злочинністю та корупцією, депутатської діяльності, етики та регламенту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з питань запобігання та виявлення корупції управління персоналу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 при надходженні чи виявленні фактів про наявність конфлікту інтересів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Перший квартал</w:t>
            </w:r>
          </w:p>
          <w:p>
            <w:pPr>
              <w:pStyle w:val="Normal"/>
              <w:widowControl/>
              <w:ind w:left="57" w:right="57" w:hanging="0"/>
              <w:rPr/>
            </w:pPr>
            <w:bookmarkStart w:id="2" w:name="__DdeLink__14559_1242707889"/>
            <w:r>
              <w:rPr>
                <w:rFonts w:eastAsia="Times New Roman" w:cs="Times New Roman" w:ascii="Times New Roman" w:hAnsi="Times New Roman"/>
                <w:lang w:bidi="ar-SA"/>
              </w:rPr>
              <w:t>2024 року</w:t>
            </w:r>
            <w:bookmarkEnd w:id="2"/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Перший квартал 2024 року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 разі зміни законодавства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Унеможливлення прийняття рішень при наявності конфлікту інтересів</w:t>
            </w:r>
          </w:p>
        </w:tc>
      </w:tr>
      <w:tr>
        <w:trPr>
          <w:trHeight w:val="212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Можливе недостатнє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висвітлення публічної інформації на вебсайтах Луцької міської ради та її виконавчих органів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Низька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Оприлюднення на офіційному вебсайті Луцької міської ради публічної інформації у повному обсязі відповідно до Закону України «Про доступ до публічної інформації»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Оновлення складу робочої групи з функціонування та розвитку офіційного сайту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3. Періодичний контроль за своєчасністю та повнотою висвітлення публічної інформації на офіційному вебсайті міської ради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Особи, відповідальні за оприлюднення інформації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Управління інформаційно-комунікаційних технологій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Робоча група з функціонування та розвитку офіційного сайту Луцької міської ради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Управління інформаційно-комунікаційних технологій </w:t>
            </w:r>
          </w:p>
          <w:p>
            <w:pPr>
              <w:pStyle w:val="Normal"/>
              <w:widowControl/>
              <w:ind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Постійно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 31.03.2024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Щороку до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15 липня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та 15 грудня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ознайомлення громадськості з публічною інформацією в повному обсязі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5812" w:type="dxa"/>
        <w:jc w:val="left"/>
        <w:tblInd w:w="3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31"/>
        <w:gridCol w:w="3192"/>
        <w:gridCol w:w="1172"/>
        <w:gridCol w:w="3404"/>
        <w:gridCol w:w="2364"/>
        <w:gridCol w:w="1690"/>
        <w:gridCol w:w="1477"/>
        <w:gridCol w:w="1980"/>
      </w:tblGrid>
      <w:tr>
        <w:trPr>
          <w:trHeight w:val="26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Ймовірність зловживань посадовими особами міської ради під час опрацювання запитів на публічну інформацію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Низька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Публікація на офіційному вебсайті Луцької міської ради звітів про розгляд запитів на інформацію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Оновлення звітів про розгляд запитів на інформацію у формі відкритих даних на Порталі відкритих даних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Внесення відомостей про запити на інформацію до системи обліку публічної інформації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 xml:space="preserve">4. Дотримання вимог Закону України “Про доступ до публічної інформації”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Загальний відділ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Загальний відділ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Управління інформаційно-комунікаційних технологій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Загальний відділ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Щомісячно щокварталу щорічно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Щокварталу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Щокварталу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</w:tc>
      </w:tr>
      <w:tr>
        <w:trPr>
          <w:trHeight w:val="547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домовленостей між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ініціатором закупівлі та майбутнім переможцем закупівлі до початку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закупівлі в електронній системі закупівель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Забезпечення належного обґрунтування закупівлі необхідних товарів/робіт/послуг структурним підрозділом,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який є ініціатором закупівлі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2. Оприлюднення обґрунтування технічних та якісних характеристик предмета закупівлі шляхом розміщення на власному вебсайті замовника (або на офіційному вебсайті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 згідно з рекомендаціями постанови КМУ від 11.10. 2016 року № 710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Уповноважені особи з питань проведення закупівель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bookmarkStart w:id="3" w:name="__DdeLink__902_3734033663"/>
            <w:r>
              <w:rPr>
                <w:rFonts w:eastAsia="Times New Roman" w:cs="Times New Roman" w:ascii="Times New Roman" w:hAnsi="Times New Roman"/>
                <w:lang w:bidi="ar-SA"/>
              </w:rPr>
              <w:t>Виконавчі органи (ініціатори закупівель)</w:t>
            </w:r>
            <w:bookmarkEnd w:id="3"/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 при проведенні закупівель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</w:tc>
      </w:tr>
      <w:tr>
        <w:trPr>
          <w:trHeight w:val="212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необгрунтованого завищення/заниження очікуваної вартості/потреби 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обсязі/кількості предмета закупівлі з метою отримання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неправомірної вигоди.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Моніторинг цін при здійсненні заĸупівель відповідальним струĸтурним підрозділом замовниĸа, яĸий ініціює заĸупівлю, з обовʼязĸовим наданням результатів моніторингу у сĸладі обґрунтування необхідності внесення заĸупівлі до Річного плану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Виĸористання аналітичних модулів для моніторингу цін (bi.prozorro.org, clarityproject.info, acm-ua.org)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Виĸористання Примірної методиĸи визначення очіĸуваної вартості предмета заĸупівлі, затвердженої наĸазом Міністерства розвитĸу еĸономіĸи, торгівлі та сільсьĸого господарства Уĸраїни від 18.02.2020 № 275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4. Проведення замовниĸом попередніх ринĸових ĸонсультацій при плануванні заĸупівель та організації їх проведення для аналізу ринĸу, у тому числі отримання реĸомендацій та інформації від субʼєĸтів господарювання відповідно до ч. 4 ст. 4 ЗУ «Про публічні заĸупівлі»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Виконавчі органи (ініціатори закупівель)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Уповноважені особи з питань проведення закупівель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 при проведенні закупівель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</w:tc>
      </w:tr>
      <w:tr>
        <w:trPr>
          <w:trHeight w:val="4658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використання об’єктів комунальної власності переданих в оренду не за цільовим призначенням чи використання додаткових площ, не передбачених договором, свідоме приховування відомостей про порушення умов договору оренди з метою отримання неправомірної вигоди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Проведення детальної інвентаризації фактичного використання всього комунального майна щодо фактичного використання площі комунальними установами, підприємствами та організаціями, виконавчими органами та орендарями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2. Інформація про всі підвідомчі об’єкти нерухомості та вільні для оренди площі оприлюднювати вчасно та у повному обсязі для потенційних орендарів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bookmarkStart w:id="4" w:name="__DdeLink__15273_2364881847"/>
            <w:r>
              <w:rPr>
                <w:rFonts w:eastAsia="Times New Roman" w:cs="Times New Roman" w:ascii="Times New Roman" w:hAnsi="Times New Roman"/>
                <w:lang w:bidi="ar-SA"/>
              </w:rPr>
              <w:t>Відділ управління майном міської комунальної власност</w:t>
            </w:r>
            <w:bookmarkEnd w:id="4"/>
            <w:r>
              <w:rPr>
                <w:rFonts w:eastAsia="Times New Roman" w:cs="Times New Roman" w:ascii="Times New Roman" w:hAnsi="Times New Roman"/>
                <w:lang w:bidi="ar-SA"/>
              </w:rPr>
              <w:t>і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Керівники виконавчих органів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Відділ з питань запобігання та виявлення корупції управління персоналу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Щорічно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Зменшення (усунення) корупційного ризику </w:t>
            </w:r>
          </w:p>
        </w:tc>
      </w:tr>
      <w:tr>
        <w:trPr>
          <w:trHeight w:val="570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маніпуляцій із прийняттям документів адміністратором ЦНАП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Низька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Розроблення та затвердження інформаційних та технологічних карток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Постійний контроль керівниками відділів термінів виконання адміністративних послуг ЦНАП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Закріплення відповідальної особи за забезпеченням функціонування відео та звукозапису у приміщеннях ЦНАП, де проводиться прийом документів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 Забезпечення дотримання обслуговування громадян за електронною чергою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Суб’єкти надання адміністративних послуг.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Департамент «Центр надання адміністративних послуг у місті Луцьку»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За потреби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Протягом року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Забезпечення прозорості надання адміністративних послуг</w:t>
            </w:r>
          </w:p>
        </w:tc>
      </w:tr>
      <w:tr>
        <w:trPr>
          <w:trHeight w:val="212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Можливе безпідставне прийняття рішення про списання матеріальних цінностей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Проведення інвентаризації (обстеження) матеріальних ресурсів, що підлягають списанню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2. Оприлюднення інформації щодо майна, яке підлягає списанню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Перевірка встановлених норм списання та первинних документів, що є підставою для прийняття рішення про списання матеріальних ресурсів.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4. Проведення звірки наявних матеріальних ресурсів із зазначеними у відомостях про придбання та списання 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 Складання звіту за результатами відповідних перевірок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6. Проведення службового розслідування (за потреби)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7. Доведення висновків службового розслідування до зацікавлених структурних підрозділів, посадових осіб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8. Вжиття заходів щодо усунення виявлених недоліків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bookmarkStart w:id="5" w:name="__DdeLink__15273_236488184711"/>
            <w:r>
              <w:rPr>
                <w:rFonts w:eastAsia="Times New Roman" w:cs="Times New Roman" w:ascii="Times New Roman" w:hAnsi="Times New Roman"/>
                <w:lang w:bidi="ar-SA"/>
              </w:rPr>
              <w:t>Відділ управління майном міської комунальної власност</w:t>
            </w:r>
            <w:bookmarkEnd w:id="5"/>
            <w:r>
              <w:rPr>
                <w:rFonts w:eastAsia="Times New Roman" w:cs="Times New Roman" w:ascii="Times New Roman" w:hAnsi="Times New Roman"/>
                <w:lang w:bidi="ar-SA"/>
              </w:rPr>
              <w:t>і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Керівники виконавчих органів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Відділ обліку та звітності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Господарсько - технічний відділ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Щорічно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Протягом року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Забезпечення прозорості у питаннях пов’язаних зі списанням матеріальних цінностей</w:t>
            </w:r>
          </w:p>
        </w:tc>
      </w:tr>
      <w:tr>
        <w:trPr>
          <w:trHeight w:val="456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задоволення приватного інтересу з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боку керівників </w:t>
            </w:r>
            <w:bookmarkStart w:id="6" w:name="__DdeLink__1069_381143413"/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підприємств, установ,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організацій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, що належать до комунальної власності Луцької міської територіальної громади</w:t>
            </w:r>
            <w:bookmarkEnd w:id="6"/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належать до сфери управління Луцької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міської ради, під час здійснення господарської діяльності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1. Роз’яснення керівникам 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підприємств, установ,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організацій, що належать до сфери  управління  Луцької</w:t>
            </w:r>
          </w:p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міської ради вимог законодавства</w:t>
            </w:r>
          </w:p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ListParagraph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2. Моніторинг фінансово-господарської діяльності комунальних підприємств, органом управління яких є виконавчі органи міської ради </w:t>
            </w:r>
          </w:p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ListParagraph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Прийняття та затвердження щорічних планів та заходів з дотримання антикорупційного законодавства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з питань запобігання та виявлення корупції управління персоналу.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Департамент економічної політики.</w:t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повноважен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і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 з питань запобігання корупції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Керівники виконавчих органів міської ради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Щорічно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Забезпечення прозорості у діяльності.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Непритягнення керівників 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підприємств, установ,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організацій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, що належать до комунальної власності Луцької міської територіальної громади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до відповідальності</w:t>
            </w:r>
          </w:p>
        </w:tc>
      </w:tr>
      <w:tr>
        <w:trPr>
          <w:trHeight w:val="212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12.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задоволення приватного інтересу з боку працівників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Луцької міської ради при роботі з службовою інформацією з метою її використання 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особистих цілях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Посилення контролю з боку керівників виконавчих органів міської ради за використання службової інформації посадовими особами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Обговорення на внутрішніх нарадах виконавчих органів питання використання службової інформації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Керівникам виконавчих органів видати внутрішні накази з ознайомленням посадових осіб про недопущення використання 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особистих цілях службової інформації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 Контроль за своєчасним корегуванням допуску до СЕД “АСКОД” (зміна  прав користувача) у зв’язку із призначенням, переведенням, звільненням працівників Луцької міської ради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5. Здійснення вибіркового контролю за діями користувачів в СЕД “АСКОД” використовуючи функцію “Аудит”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6. Знищення електронних файлів, сформованих Службою Розпорядника Державного реєстру виборців для виготовлення попередніх та уточнених списків виборців для звичайних виборчих дільниць Луцької міської територіальної громади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Керівники виконавчих органів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Управління інформаційно-комунікаційних технологій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Адміністратор безпеки відділу  ведення Державного реєстру виборців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Перший квартал 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2024 року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Після роздруку списків виборців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Унеможливлення втрати репутації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Непритягнення посадових осіб до відповідальності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>
          <w:trHeight w:val="973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13.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зловживань при формуванні та виконанні бюджету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Перевірка обгрунтованості внесення змін до розпису та включення статей витрат до розрахунків потреби в коштах при формуванні показників бюджету на відповідний рік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Обгрунтування включення бюджетних запитів головних розпорядників коштів до проєкту бюджету на відповідний рік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 xml:space="preserve">3. Аналіз внесення змін до розпису бюджету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 Розроблення та затвердження інструкції з організації внутрішнього контролю (аудиту)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Відділ обліку та звітності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Департамент фінансів, бюджету та аудиту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При формуванні бюджету установи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При формуванні та виконанні бюджету громади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bookmarkStart w:id="7" w:name="__DdeLink__926_1803557186"/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 квітня </w:t>
            </w:r>
          </w:p>
          <w:p>
            <w:pPr>
              <w:pStyle w:val="Normal"/>
              <w:widowControl/>
              <w:ind w:left="57" w:right="57" w:hanging="0"/>
              <w:rPr/>
            </w:pPr>
            <w:bookmarkStart w:id="8" w:name="__DdeLink__926_1803557186"/>
            <w:r>
              <w:rPr>
                <w:rFonts w:eastAsia="Times New Roman" w:cs="Times New Roman" w:ascii="Times New Roman" w:hAnsi="Times New Roman"/>
                <w:lang w:bidi="ar-SA"/>
              </w:rPr>
              <w:t>2024 року</w:t>
            </w:r>
            <w:bookmarkEnd w:id="8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bookmarkStart w:id="9" w:name="__DdeLink__2417_381143413"/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  <w:bookmarkEnd w:id="9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Забезпечення прозорості формування бюджету</w:t>
            </w:r>
          </w:p>
        </w:tc>
      </w:tr>
      <w:tr>
        <w:trPr>
          <w:trHeight w:val="3426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втручання у діяльність членів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конкурсних комісій для проведення відбору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кандидатів на заміщення вакантних посад у виконавчих органах Луцької</w:t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міської ради, призначення керівників комунальних закладів та підприємств з метою впливу на прийняття нею рішень на користь визначеного кандидата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Забезпечення оприлюднення  протоколів засідань конкурсної комісії на офіційному вебсайті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2. Контроль громадськості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Управління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персоналу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Особи, відповідальні за оприлюднення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рокуПісля проведення відповідних конкурсів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Прозорість у прийнятті особи на службу</w:t>
            </w:r>
          </w:p>
        </w:tc>
      </w:tr>
      <w:tr>
        <w:trPr>
          <w:trHeight w:val="2107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 xml:space="preserve">Можлива недостатня обізнаність працівників </w:t>
            </w:r>
            <w:r>
              <w:rPr>
                <w:rFonts w:ascii="Times New Roman" w:hAnsi="Times New Roman"/>
                <w:lang w:val="en-US"/>
              </w:rPr>
              <w:t xml:space="preserve">підприємств, установ, </w:t>
            </w:r>
            <w:r>
              <w:rPr>
                <w:rFonts w:ascii="Times New Roman" w:hAnsi="Times New Roman"/>
              </w:rPr>
              <w:t xml:space="preserve">організацій та закладів, </w:t>
            </w:r>
            <w:r>
              <w:rPr>
                <w:rFonts w:ascii="Times New Roman" w:hAnsi="Times New Roman"/>
                <w:lang w:val="en-US"/>
              </w:rPr>
              <w:t>що належать до комунальної власності Луцької міської територіальної громади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вимогами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антикорупційного законодавства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Низька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Розроблення та поширення інформаційних (роз’яснювальних) матеріалів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Участь у навчаннях уповноважених з питань запобігання корупції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3. Розроблення та затвердження планів (заходів) з питань запобігання корупції у  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підприємств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ах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, установ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ах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організаціях та закладах,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 що належать до комунальної власності Луцької міської територіальної громади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з питань запобігання та виявлення корупції управління персоналу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Керівники  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підприємств, установ,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організацій та закладів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, що належать до комунальної власності Луцької міської територіальної громади</w:t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У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повноважен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і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 з питань запобігання корупції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Щорічно до 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15 січня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Не притягнення працівників 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підприємств, установ,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організацій та закладів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, що належать до комунальної власності Луцької міської територіальної громади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до кримінальної, адміністративної та дисциплінарної відповідальності з порушення антикорупційного законодавства</w:t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іміджу Луцької міської ради</w:t>
            </w:r>
          </w:p>
        </w:tc>
      </w:tr>
      <w:tr>
        <w:trPr>
          <w:trHeight w:val="2169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16</w:t>
            </w:r>
            <w:r>
              <w:rPr/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Можливість зловживання </w:t>
            </w:r>
            <w:bookmarkStart w:id="10" w:name="__DdeLink__1888_3330966667"/>
            <w:r>
              <w:rPr>
                <w:rFonts w:ascii="Times New Roman" w:hAnsi="Times New Roman"/>
              </w:rPr>
              <w:t>при контролі, розробленні та затвердженні містобудівної документації</w:t>
            </w:r>
            <w:bookmarkEnd w:id="10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1.Оновлення складу архітектурно-містобудівної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Розміщення містобудівної документації на геопорталі відкритих даних Луцької міської територіальної громади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Грудень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року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Постійна актуалізація інформації про містобудівну документацію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Забезпечення прозорості при контролі, розробленні та затвердженні містобудівної документації </w:t>
            </w:r>
          </w:p>
        </w:tc>
      </w:tr>
      <w:tr>
        <w:trPr>
          <w:trHeight w:val="6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17.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Можливість зловживання посадовою чи службовою особою посадовими обов’язками (при вчиненні нотаріальних дій, посвідченні довіреностей, складання протоколів про адміністративні правопорушення, видачу дозволів та інше)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Проведення роз’яснювальної роботи, навчань для посадових та службових осіб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Вибірковий моніторинг матеріалів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У випадку встановлення фактів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неналежного виконання посадових обов’язків - вживати заходи щодо притягнення осіб до відповідальності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4. Проведення роботи щодо видачі дозволів, реєстрації декларацій та інше лише через Єдину державну електронну систему у сфері будівництва.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Керівники виконавчих органів міської ради, старости старостинських округів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Юридичний департамент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Профільні заступники міського голови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з питань запобігання та виявлення корупції управління персоналу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Головні спеціалісти, інспектори відділу ДАБК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Поліпшення довіри громадян до діяльності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Зменшення скарг на дії працівників міської ради</w:t>
            </w:r>
          </w:p>
        </w:tc>
      </w:tr>
      <w:tr>
        <w:trPr>
          <w:trHeight w:val="4845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18.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Можливі зловживання при поданні декларації особи, уповноваженої на виконання функцій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держави або місцевого самоврядування.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Проведення навчальних заходів із запобігання корупції, розміщення інформаційних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(навчальних) матеріалів серед суб’єктів, на яких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поширюються вимоги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антикорупційного законодавства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Перевірка наявності подання декларацій суб’єктами, на яких поширюються такі вимоги; періодичні нагадування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відповідним суб’єктам про необхідність подання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електронної декларації</w:t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3. Розробити методичні рекомендації з організаційних питань проведення компанії декларування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з питань запобігання та виявлення корупції управління персоналу Луцької міської ради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Уповноважені з питань запобігання корупції на 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підприємств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ах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, установ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ах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організаціях та закладах</w:t>
            </w:r>
            <w:r>
              <w:rPr>
                <w:rFonts w:eastAsia="Times New Roman" w:cs="Times New Roman" w:ascii="Times New Roman" w:hAnsi="Times New Roman"/>
                <w:lang w:val="en-US" w:bidi="ar-SA"/>
              </w:rPr>
              <w:t>, що належать до комунальної власності Луцької міської територіальної громади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Перший квартал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2024 року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Дотримання працівниками вимог антикорупційного законодавства,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Непритягнення суб’єктів декларування до відповідальності.</w:t>
            </w:r>
          </w:p>
        </w:tc>
      </w:tr>
      <w:tr>
        <w:trPr>
          <w:trHeight w:val="3666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Можливість зловживання при контролі за використанням земельних ділянок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Проведення інвентаризації земель на території Луцької міської територіальної громади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2. Створення та ведення реєстру земельних ділянок Луцької міської територіальної громади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Департамент містобудування, земельних ресурсів та реклами Луцької міської ради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Проведення оновлень за необхідності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Постійно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Не потребує виділення додаткових ресурсів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Постійна актуалізація інформації про користувачів земельних ділянок.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Ефективний контроль за використанням земельних ділянок на території громади.</w:t>
            </w:r>
          </w:p>
        </w:tc>
      </w:tr>
      <w:tr>
        <w:trPr>
          <w:trHeight w:val="4845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cs="Times New Roman" w:ascii="Times New Roman" w:hAnsi="Times New Roman"/>
              </w:rPr>
              <w:t>Можливе розголошення персональних даних про отримувачів соціальних послуг.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Низька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Моніторинг та перевірка за дотриманням законодавства про захист персональних даних при наданні соціальних послуг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Проведення навчання щодо порядку обробки персональних даних та належного зберігання особових справ осіб, які звернулися за соціальними послугами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>3.Знищення особових справ після закінчення строку зберігання, визначеного номенклатурою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4. Розгляд заяв про відкликання персональних даних, надання відповідних роз’яснень.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Департамент соціальної політики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КУ «Територіальний центр соціального обслуговування (надання соціальних послуг) Луцької міської територіальної громади»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При необхідності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Щорічно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Щорічно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При необхідності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 межах наявних ресурсів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Зменшення (усунення) корупційного ризику </w:t>
            </w:r>
          </w:p>
        </w:tc>
      </w:tr>
      <w:tr>
        <w:trPr>
          <w:trHeight w:val="1540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cs="Times New Roman" w:ascii="Times New Roman" w:hAnsi="Times New Roman"/>
              </w:rPr>
              <w:t>Дискреційні повноваження при здійсненні</w:t>
            </w: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призначення та виплати соціальної допомоги, адресної грошової допомоги, компенсацій та інших соціальних виплат, установлених законодавством, наданні та виплаті житлових субсидій, пільг на оплату житлово-комунальних послуг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Висока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Неухильне дотримання законодавства, що регулює порядок призначення та виплати соціальної допомоги, адресної грошової допомоги, компенсацій та інших соціальних виплат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Звернення за роз’ясненнями до Департаменту соціальної та ветеранської політики облдержадміністрації, Нацсоцслужби, Міністерства соціальної політики, Міністерства у справах ветеранів в разі спірних питань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3. Моніторинг та перевірка рішень про призначення соціальної допомоги, адресної грошової допомоги, компенсацій та інших соціальних виплат/відмови у їх призначенні територіальними органами Нацсоцслужби, верифікація державних виплат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Департамент соціальної політики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Постійно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 разі потреби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 разі потреби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У межах наявних ресурсів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Прозорість проведення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виплат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Зменшення скарг на посадових осіб</w:t>
            </w:r>
          </w:p>
        </w:tc>
      </w:tr>
      <w:tr>
        <w:trPr>
          <w:trHeight w:val="1449" w:hRule="atLeast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/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Можливий вплив на членів конкурсної комісії під час проведення конкурсу з перевезення пасажирів на міських та приміських автобусних маршрутах загального користування 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Середня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1. Внесення змін до складу конкурсного комітету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2. Оприлюднення результатів конкурсу на офіційному вебсайті міської ради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транспорту міської ради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При потребі проведення конкурсів 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Додаткових ресурсів не потребує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Прозорість проведення конкурсів на залучення автомобільних перевізників до перевезень пасажирів </w:t>
            </w:r>
          </w:p>
        </w:tc>
      </w:tr>
      <w:tr>
        <w:trPr>
          <w:trHeight w:val="4845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jc w:val="center"/>
              <w:rPr/>
            </w:pPr>
            <w:r>
              <w:rPr>
                <w:rFonts w:ascii="Times New Roman" w:hAnsi="Times New Roman"/>
              </w:rPr>
              <w:t>23</w:t>
            </w:r>
            <w:r>
              <w:rPr/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залученні для організації проведення конкурсів підприємства (організації),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яке покладаються функції з підготовки матеріалів щодо умов конкурсу, паспортів автобусних маршрутів загального користування, аналізу одержаних пропозицій та їх оцінки, аналізу виконання перевізниками, які стали переможцями попередніх (попереднього) конкурсів (конкурсу) з перевезення пасажирів, умов укладених (наданих) договорів або дозволів, та інших матеріалів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/>
            </w:pPr>
            <w:r>
              <w:rPr/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Низька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1.Утворення комітету з визначення робочого органу з числа працівників відповідного фаху, громадськості та </w:t>
            </w:r>
            <w:r>
              <w:rPr>
                <w:rFonts w:ascii="Times New Roman" w:hAnsi="Times New Roman"/>
              </w:rPr>
              <w:t xml:space="preserve">визначення відповідних умов конкурсу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Відділ транспорту міської ради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 грудня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2024 року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Додаткових ресурсів не потребує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 xml:space="preserve">Прозорість проведення конкурсів на залучення автомобільних перевізників до перевезень пасажирів </w:t>
            </w:r>
          </w:p>
        </w:tc>
      </w:tr>
    </w:tbl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  <w:r>
        <w:br w:type="page"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15812" w:type="dxa"/>
        <w:jc w:val="left"/>
        <w:tblInd w:w="3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31"/>
        <w:gridCol w:w="3192"/>
        <w:gridCol w:w="1172"/>
        <w:gridCol w:w="3404"/>
        <w:gridCol w:w="2364"/>
        <w:gridCol w:w="1690"/>
        <w:gridCol w:w="1477"/>
        <w:gridCol w:w="1980"/>
      </w:tblGrid>
      <w:tr>
        <w:trPr>
          <w:trHeight w:val="267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Можливість зловживань при наданні погоджень землевпорядної документації на користь окремих юридичних або фізичних осіб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Інформування представника Волинської археологічної експедиції Інститут археології НАН України про заплановані земельні роботи 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Моніторинг за проведенням погоджень технічної документації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Відділ охорони культурної спадщини міської ради.</w:t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Постійно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Додаткових ресурсів не потребує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Збереження культурної спадщини Луцької територіальної громади</w:t>
            </w:r>
          </w:p>
        </w:tc>
      </w:tr>
      <w:tr>
        <w:trPr>
          <w:trHeight w:val="162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Можливість не видання приписів власникам пам’яток щодо охорони об’єктів культурної спадщини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Регулярний моніторинг та інформування відповідного органу Волинської обласної державної адміністрації про загрози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ascii="Times New Roman" w:hAnsi="Times New Roman"/>
              </w:rPr>
              <w:t>Відділ охорони культурної спадщини міської ради.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Постійно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/>
            </w:pPr>
            <w:r>
              <w:rPr>
                <w:rFonts w:eastAsia="Times New Roman" w:cs="Times New Roman" w:ascii="Times New Roman" w:hAnsi="Times New Roman"/>
                <w:lang w:bidi="ar-SA"/>
              </w:rPr>
              <w:t>Додаткових ресурсів не потребує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57" w:right="5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Збереження культурної спадщини Луцької територіальної громади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360" w:right="36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uk-UA" w:eastAsia="uk-UA" w:bidi="uk-U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e19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qFormat/>
    <w:rsid w:val="00ef7e1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4" w:customStyle="1">
    <w:name w:val="Подпись к таблице_"/>
    <w:basedOn w:val="DefaultParagraphFont"/>
    <w:qFormat/>
    <w:rsid w:val="00ef7e1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single"/>
    </w:rPr>
  </w:style>
  <w:style w:type="character" w:styleId="Style15" w:customStyle="1">
    <w:name w:val="Другое_"/>
    <w:basedOn w:val="DefaultParagraphFont"/>
    <w:qFormat/>
    <w:rsid w:val="00ef7e1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Основной текст (2)"/>
    <w:basedOn w:val="Normal"/>
    <w:link w:val="2"/>
    <w:qFormat/>
    <w:rsid w:val="00ef7e19"/>
    <w:pPr>
      <w:spacing w:before="0" w:after="260"/>
      <w:jc w:val="center"/>
    </w:pPr>
    <w:rPr>
      <w:rFonts w:ascii="Times New Roman" w:hAnsi="Times New Roman" w:eastAsia="Times New Roman" w:cs="Times New Roman"/>
      <w:b/>
      <w:bCs/>
    </w:rPr>
  </w:style>
  <w:style w:type="paragraph" w:styleId="Style21" w:customStyle="1">
    <w:name w:val="Подпись к таблице"/>
    <w:basedOn w:val="Normal"/>
    <w:qFormat/>
    <w:rsid w:val="00ef7e19"/>
    <w:pPr>
      <w:jc w:val="center"/>
    </w:pPr>
    <w:rPr>
      <w:rFonts w:ascii="Times New Roman" w:hAnsi="Times New Roman" w:eastAsia="Times New Roman" w:cs="Times New Roman"/>
      <w:b/>
      <w:bCs/>
      <w:u w:val="single"/>
    </w:rPr>
  </w:style>
  <w:style w:type="paragraph" w:styleId="Style22" w:customStyle="1">
    <w:name w:val="Другое"/>
    <w:basedOn w:val="Normal"/>
    <w:qFormat/>
    <w:rsid w:val="00ef7e19"/>
    <w:pPr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957e12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LibreOffice/6.3.4.2$Windows_X86_64 LibreOffice_project/60da17e045e08f1793c57c00ba83cdfce946d0aa</Application>
  <Pages>15</Pages>
  <Words>2704</Words>
  <Characters>19920</Characters>
  <CharactersWithSpaces>22494</CharactersWithSpaces>
  <Paragraphs>393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2023-11-16T07:43:00Z</dcterms:created>
  <dc:creator>Користувач Windows</dc:creator>
  <dc:description/>
  <dc:language>uk-UA</dc:language>
  <cp:lastModifiedBy/>
  <cp:lastPrinted>2023-11-16T07:21:00Z</cp:lastPrinted>
  <dcterms:modified xsi:type="dcterms:W3CDTF">2023-11-21T15:54:33Z</dcterms:modified>
  <cp:revision>16</cp:revision>
  <dc:subject/>
  <dc:title>АНТИКОРУПЦІЙНА ПРОГРАМА.docx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