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C3" w:rsidRDefault="00E444C3" w:rsidP="009B5C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</w:pPr>
      <w:r w:rsidRPr="00E444C3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Аналіз регуляторного впливу</w:t>
      </w:r>
      <w:r w:rsidRPr="00E444C3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br/>
        <w:t>проекту рішення «Про встановлення тарифу на надання послуг перероблення роздільно зібраних харчових та садових відходів для суб’єктів господарської діяльності»</w:t>
      </w:r>
    </w:p>
    <w:p w:rsidR="0096607B" w:rsidRDefault="0096607B" w:rsidP="009B5C9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6607B" w:rsidRPr="00913C27" w:rsidRDefault="0096607B" w:rsidP="009B5C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913C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Аналіз регуляторного впливу розроблено на виконання вимог Закону України </w:t>
      </w:r>
      <w:r w:rsidR="00913C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«</w:t>
      </w:r>
      <w:r w:rsidRPr="00913C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Про засади державної регуляторної політики у сфері господарської діяльності</w:t>
      </w:r>
      <w:r w:rsidR="00913C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»</w:t>
      </w:r>
      <w:r w:rsidRPr="00913C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та з урахуванням Методики проведення аналізу впливу регуляторного акта, затвердженої постановою Кабінету Міністрів України від 11.03.2004 № 308 (зі змінами).</w:t>
      </w:r>
    </w:p>
    <w:p w:rsidR="00E444C3" w:rsidRPr="00E444C3" w:rsidRDefault="00E444C3" w:rsidP="009B5C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</w:pPr>
      <w:r w:rsidRPr="00E444C3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Pr="00E444C3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I. Визначення проблеми</w:t>
      </w:r>
    </w:p>
    <w:p w:rsidR="00E444C3" w:rsidRDefault="00E444C3" w:rsidP="009B5C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03209D" w:rsidRDefault="0003209D" w:rsidP="009B5C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0320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Регуляторним актом, що є предметом цього Аналізу, планується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встановити</w:t>
      </w:r>
      <w:r w:rsidRPr="000320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нов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ий</w:t>
      </w:r>
      <w:r w:rsidRPr="000320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, економічно обґрунтован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ий</w:t>
      </w:r>
      <w:r w:rsidRPr="000320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тариф на надання послуг перероблення роздільно зібраних харчових та садових відходів для суб’єктів господарської діяльності</w:t>
      </w:r>
      <w:r w:rsidRPr="000320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.</w:t>
      </w:r>
    </w:p>
    <w:p w:rsidR="00E444C3" w:rsidRPr="003565D1" w:rsidRDefault="00E444C3" w:rsidP="009B5C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Законом України «Про місце</w:t>
      </w:r>
      <w:r w:rsidR="007F04E1" w:rsidRPr="007F04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ве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самоврядування в Україні» </w:t>
      </w:r>
      <w:r w:rsidRPr="003565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до відання виконавчих органів сільських, селищних, міських рад належать</w:t>
      </w:r>
      <w:bookmarkStart w:id="0" w:name="n317"/>
      <w:bookmarkEnd w:id="0"/>
      <w:r w:rsidRPr="003565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повноваження</w:t>
      </w:r>
      <w:bookmarkStart w:id="1" w:name="n318"/>
      <w:bookmarkStart w:id="2" w:name="n325"/>
      <w:bookmarkEnd w:id="1"/>
      <w:bookmarkEnd w:id="2"/>
      <w:r w:rsidRPr="003565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щодо вирішення питань збирання, утилізації та знешкодження (в тому числі перероблення) побутових відходів.</w:t>
      </w:r>
    </w:p>
    <w:p w:rsidR="003565D1" w:rsidRPr="003565D1" w:rsidRDefault="003565D1" w:rsidP="009B5C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3565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У свою чергу, згідно п. і) ст. 32 Закону України «Про відходи» забороняється з 01 січня 2018 року захоронення неперероблених (необроблених) побутових відходів. </w:t>
      </w:r>
    </w:p>
    <w:p w:rsidR="003565D1" w:rsidRDefault="003565D1" w:rsidP="009B5C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Р</w:t>
      </w:r>
      <w:r w:rsidRPr="003565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ішенням постійної комісії екології та природокористування згідно протоколу від 11.09.2018 № 67 було визначено доцільним впровадження системи окремого збору органічних відходів (садових, харчових) для їх подальшого біологічного розкладання та утворення кінцевого продукту у вигляді компосту, а також для забезпечення належного санітарного стану території м. Львова.</w:t>
      </w:r>
    </w:p>
    <w:p w:rsidR="003565D1" w:rsidRPr="003565D1" w:rsidRDefault="00E444C3" w:rsidP="009B5C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3565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З метою ефективних дій, необхідних для запровадження роздільного збору харчових та садових відходів</w:t>
      </w:r>
      <w:r w:rsidR="003565D1" w:rsidRPr="003565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,</w:t>
      </w:r>
      <w:r w:rsidRPr="003565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="003565D1" w:rsidRPr="003565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рішенням виконавчого комітету Львівської міської ради № 1211 від 09.11.2018 року Львівському комунальному підприємству «Зелене місто» було доручено забезпечити створення і функціонування централізованого </w:t>
      </w:r>
      <w:proofErr w:type="spellStart"/>
      <w:r w:rsidR="003565D1" w:rsidRPr="003565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компостувального</w:t>
      </w:r>
      <w:proofErr w:type="spellEnd"/>
      <w:r w:rsidR="003565D1" w:rsidRPr="003565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майданчика з відповідною закупівлею необхідного спеціалізованого обладнання.</w:t>
      </w:r>
    </w:p>
    <w:p w:rsidR="00E444C3" w:rsidRPr="003565D1" w:rsidRDefault="003565D1" w:rsidP="009B5C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За таких умов</w:t>
      </w:r>
      <w:r w:rsidRPr="003565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="00E444C3" w:rsidRPr="00E444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виникла необхідність встановити вартість </w:t>
      </w:r>
      <w:r w:rsidRPr="003565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послуг перероблення роздільно зібраних харчових та садових відходів</w:t>
      </w:r>
      <w:r w:rsidR="00E444C3" w:rsidRPr="00E444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, що надаватимуться ЛКП «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Зелене місто</w:t>
      </w:r>
      <w:r w:rsidR="00E444C3" w:rsidRPr="00E444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суб’єктам господарської діяльності</w:t>
      </w:r>
      <w:r w:rsidR="00E444C3" w:rsidRPr="00E444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</w:t>
      </w:r>
    </w:p>
    <w:p w:rsidR="003565D1" w:rsidRDefault="003565D1" w:rsidP="009B5C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</w:p>
    <w:p w:rsidR="00322D81" w:rsidRPr="00E444C3" w:rsidRDefault="00322D81" w:rsidP="009B5C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</w:pPr>
      <w:r w:rsidRPr="00E444C3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 xml:space="preserve">II. Цілі </w:t>
      </w:r>
      <w:r w:rsidRPr="00322D81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 xml:space="preserve">та мета </w:t>
      </w:r>
      <w:r w:rsidRPr="00E444C3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регулювання</w:t>
      </w:r>
    </w:p>
    <w:p w:rsidR="00322D81" w:rsidRDefault="00322D81" w:rsidP="009B5C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3565D1" w:rsidRDefault="00322D81" w:rsidP="009B5C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E444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Проект регуляторного акта спрямований на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забезпечення необхідного рівня вартості </w:t>
      </w:r>
      <w:r w:rsidRPr="00322D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послуг перероблення роздільно зібраних харчових та садових відходів для суб’єктів господарської діяльності</w:t>
      </w:r>
      <w:r w:rsidR="000320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.</w:t>
      </w:r>
      <w:r w:rsidRPr="00322D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</w:t>
      </w:r>
    </w:p>
    <w:p w:rsidR="0003209D" w:rsidRDefault="0003209D" w:rsidP="009B5C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0320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Метою даного регулювання є встановлення економічно обґрунтован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ого</w:t>
      </w:r>
      <w:r w:rsidRPr="000320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тарифу на надання послуг перероблення роздільно зібраних харчових та садових відходів для суб’єктів господарської діяльності</w:t>
      </w:r>
      <w:r w:rsidRPr="000320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.</w:t>
      </w:r>
    </w:p>
    <w:p w:rsidR="0003209D" w:rsidRDefault="0003209D" w:rsidP="009B5C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0320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Встановлення економічно обґрунтован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ого</w:t>
      </w:r>
      <w:r w:rsidRPr="000320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тарифу на надання послуг перероблення роздільно зібраних харчових та садових відходів для суб’єктів господарської діяльності</w:t>
      </w:r>
      <w:r w:rsidRPr="000320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допоможе також опосередковано досягти наступних цілей:</w:t>
      </w:r>
    </w:p>
    <w:p w:rsidR="0003209D" w:rsidRDefault="0003209D" w:rsidP="009B5C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0320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- підвищити якість організації діяльності щодо поводження з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побутовими відхода</w:t>
      </w:r>
      <w:r w:rsidR="00B54B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м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и</w:t>
      </w:r>
      <w:r w:rsidRPr="000320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та, як наслідок, покращити санітарно-епідеміологічну ситуацію у місті;</w:t>
      </w:r>
    </w:p>
    <w:p w:rsidR="003565D1" w:rsidRDefault="0003209D" w:rsidP="009B5C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0320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- досягти балансу між коштами, що виділяються з бюджету різних рівнів на санітарну очистку міста та реальними потребами галузі.</w:t>
      </w:r>
    </w:p>
    <w:p w:rsidR="007F04E1" w:rsidRDefault="007F04E1" w:rsidP="009B5C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</w:p>
    <w:p w:rsidR="00322D81" w:rsidRDefault="00E444C3" w:rsidP="009B5C9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uk-UA"/>
        </w:rPr>
      </w:pPr>
      <w:r w:rsidRPr="00E444C3">
        <w:rPr>
          <w:rFonts w:ascii="Arial" w:eastAsia="Times New Roman" w:hAnsi="Arial" w:cs="Arial"/>
          <w:color w:val="000000"/>
          <w:sz w:val="24"/>
          <w:szCs w:val="24"/>
          <w:lang w:eastAsia="uk-UA"/>
        </w:rPr>
        <w:lastRenderedPageBreak/>
        <w:br/>
      </w:r>
      <w:r w:rsidR="00322D81" w:rsidRPr="00E444C3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 xml:space="preserve">III. </w:t>
      </w:r>
      <w:r w:rsidRPr="00E444C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uk-UA"/>
        </w:rPr>
        <w:t>Альтернативні способи досягнення зазначених цілей, перевага вибраного способу</w:t>
      </w:r>
    </w:p>
    <w:p w:rsidR="00322D81" w:rsidRDefault="00322D81" w:rsidP="009B5C9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913C27" w:rsidRPr="00913C27" w:rsidRDefault="00913C27" w:rsidP="009B5C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913C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Розглянуто такі альтернативні способи досягнення визначених цілей: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0"/>
        <w:gridCol w:w="7023"/>
      </w:tblGrid>
      <w:tr w:rsidR="00913C27" w:rsidRPr="00913C27" w:rsidTr="00557B4B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C27" w:rsidRPr="00913C27" w:rsidRDefault="00913C27" w:rsidP="009B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913C2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Вид альтернативи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C27" w:rsidRPr="00913C27" w:rsidRDefault="00913C27" w:rsidP="009B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913C2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  <w:t>Опис альтернативи</w:t>
            </w:r>
          </w:p>
        </w:tc>
      </w:tr>
      <w:tr w:rsidR="00913C27" w:rsidRPr="00913C27" w:rsidTr="00557B4B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C27" w:rsidRPr="00913C27" w:rsidRDefault="00913C27" w:rsidP="009B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913C2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  <w:t>Альтернатива 1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C27" w:rsidRPr="00913C27" w:rsidRDefault="00913C27" w:rsidP="009B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913C2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Збереження існуючого стану. Така альтернатива не вирішує питання поводження з </w:t>
            </w:r>
            <w:r w:rsidR="00557B4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роздільно зібраними харчовими та садовими відходами </w:t>
            </w:r>
            <w:r w:rsidRPr="00913C2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  <w:t>та є економічно невигідною для Львівського комуналь</w:t>
            </w:r>
            <w:r w:rsidR="00557B4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  <w:t>ного підприємства «Зелене місто»</w:t>
            </w:r>
            <w:r w:rsidRPr="00913C2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</w:tr>
      <w:tr w:rsidR="00913C27" w:rsidRPr="00913C27" w:rsidTr="00557B4B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C27" w:rsidRPr="00913C27" w:rsidRDefault="00913C27" w:rsidP="009B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913C2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  <w:t>Альтернатива 2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C27" w:rsidRPr="00913C27" w:rsidRDefault="00557B4B" w:rsidP="007F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Встановлення нижчого тарифу, ніж пропонується проектом регуляторного акту. </w:t>
            </w:r>
            <w:r w:rsidRPr="00913C2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  <w:t>Така альтернатива не вирішує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повн</w:t>
            </w:r>
            <w:r w:rsidR="007F04E1" w:rsidRPr="007F04E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  <w:t>ою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мір</w:t>
            </w:r>
            <w:r w:rsidR="007F04E1" w:rsidRPr="007F04E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  <w:t>ою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913C2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питання поводження з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роздільно зібраними харчовими та садовими відходами </w:t>
            </w:r>
            <w:r w:rsidRPr="00913C2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  <w:t>та є економічно невигідною для Львівського комуналь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  <w:t>ного підприємства «Зелене місто»</w:t>
            </w:r>
            <w:r w:rsidRPr="00913C2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</w:tr>
      <w:tr w:rsidR="00557B4B" w:rsidRPr="00913C27" w:rsidTr="00557B4B">
        <w:trPr>
          <w:trHeight w:val="297"/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B4B" w:rsidRPr="00913C27" w:rsidRDefault="00557B4B" w:rsidP="009B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  <w:t>Альтернатива 3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B4B" w:rsidRPr="00913C27" w:rsidRDefault="00557B4B" w:rsidP="009B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913C2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Прийняття рішення «</w:t>
            </w:r>
            <w:r w:rsidRPr="00557B4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 встановлення тарифу на надання послуг перероблення роздільно зібраних харчових та садових відходів для суб’єктів господарської діяльності</w:t>
            </w:r>
            <w:r w:rsidRPr="00913C2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» встановлює прозоре, зрозуміле та просте регулювання питання поводження з </w:t>
            </w:r>
            <w:r w:rsidRPr="00557B4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роздільно зібраними харчовими та садовими відходами для суб’єктів господарської діяльності</w:t>
            </w:r>
            <w:r w:rsidRPr="00913C2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є економічно вигідним для Львівського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комунального підприємства «Зелене місто»</w:t>
            </w:r>
            <w:r w:rsidRPr="00913C2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найбільш ефективним способом досягнення цілей.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При цьому р</w:t>
            </w:r>
            <w:r w:rsidRPr="00E444C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егуляторний акт дасть можливість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повністю покривати витрати на ремонт та обслуговування (в тому числі сплачувати заробітну плату працівникам, задіяним для обслуговування) відповідного спеціалізованого обладнання з перероблення та компостування роздільно зібраних харчових та садових відходів за рахунок коштів від суб’єктів господарської діяльності. </w:t>
            </w:r>
          </w:p>
        </w:tc>
      </w:tr>
    </w:tbl>
    <w:p w:rsidR="00D45CA0" w:rsidRDefault="00D45CA0" w:rsidP="009B5C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D45CA0" w:rsidRDefault="00D45CA0" w:rsidP="009B5C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uk-UA"/>
        </w:rPr>
      </w:pPr>
      <w:r w:rsidRPr="00D45CA0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І</w:t>
      </w:r>
      <w:r w:rsidRPr="00E444C3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V.</w:t>
      </w:r>
      <w:r w:rsidRPr="00E444C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E444C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uk-UA"/>
        </w:rPr>
        <w:t>Механізм, який пропонується застосувати для розв’язання проблем, і відповідні заходи</w:t>
      </w:r>
    </w:p>
    <w:p w:rsidR="00D45CA0" w:rsidRDefault="00D45CA0" w:rsidP="009B5C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</w:p>
    <w:p w:rsidR="00D45CA0" w:rsidRDefault="00E444C3" w:rsidP="009B5C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E444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Для реалізації поставленої мети </w:t>
      </w:r>
      <w:r w:rsidR="00D45CA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та цілей </w:t>
      </w:r>
      <w:r w:rsidRPr="00E444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пропонується проведення наступних заходів:</w:t>
      </w:r>
    </w:p>
    <w:p w:rsidR="00D45CA0" w:rsidRDefault="00E444C3" w:rsidP="009B5C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E444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- підготовка проекту рішення «</w:t>
      </w:r>
      <w:r w:rsidR="00D45CA0" w:rsidRPr="00D438E2">
        <w:rPr>
          <w:rFonts w:ascii="Arial" w:hAnsi="Arial" w:cs="Arial"/>
          <w:sz w:val="24"/>
          <w:szCs w:val="24"/>
        </w:rPr>
        <w:t xml:space="preserve">Про </w:t>
      </w:r>
      <w:r w:rsidR="00D45CA0">
        <w:rPr>
          <w:rFonts w:ascii="Arial" w:hAnsi="Arial" w:cs="Arial"/>
          <w:sz w:val="24"/>
          <w:szCs w:val="24"/>
        </w:rPr>
        <w:t>встановлення тарифу на надання послуг перероблення роздільно зібраних харчових та садових відходів для суб’єктів господарської діяльності</w:t>
      </w:r>
      <w:r w:rsidRPr="00E444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»;</w:t>
      </w:r>
    </w:p>
    <w:p w:rsidR="00D45CA0" w:rsidRDefault="00E444C3" w:rsidP="009B5C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E444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- підготовка аналізу впливу регуляторного акту відповідно до Закону України «Про основи державної регуляторної політики в сфері господарської діяльності»;</w:t>
      </w:r>
    </w:p>
    <w:p w:rsidR="00D45CA0" w:rsidRDefault="00E444C3" w:rsidP="009B5C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E444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- вв</w:t>
      </w:r>
      <w:r w:rsidR="00D45CA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едення в дію регуляторного акта </w:t>
      </w:r>
      <w:r w:rsidR="00B6266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відповідним </w:t>
      </w:r>
      <w:r w:rsidR="00D45CA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рішенням </w:t>
      </w:r>
      <w:r w:rsidRPr="00E444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«</w:t>
      </w:r>
      <w:r w:rsidR="00D45CA0" w:rsidRPr="00D438E2">
        <w:rPr>
          <w:rFonts w:ascii="Arial" w:hAnsi="Arial" w:cs="Arial"/>
          <w:sz w:val="24"/>
          <w:szCs w:val="24"/>
        </w:rPr>
        <w:t xml:space="preserve">Про </w:t>
      </w:r>
      <w:r w:rsidR="00D45CA0">
        <w:rPr>
          <w:rFonts w:ascii="Arial" w:hAnsi="Arial" w:cs="Arial"/>
          <w:sz w:val="24"/>
          <w:szCs w:val="24"/>
        </w:rPr>
        <w:t>встановлення тарифу на надання послуг перероблення роздільно зібраних харчових та садових відходів для суб’єктів господарської діяльності</w:t>
      </w:r>
      <w:r w:rsidRPr="00E444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».</w:t>
      </w:r>
    </w:p>
    <w:p w:rsidR="00D45CA0" w:rsidRDefault="00D45CA0" w:rsidP="009B5C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E444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Рішення підлягає оприлюдненню.</w:t>
      </w:r>
    </w:p>
    <w:p w:rsidR="00B62661" w:rsidRDefault="00D45CA0" w:rsidP="009B5C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E444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Регуляторний акт має місцевий характер впливу. Прийняття зазначеного проекту рішення забезпечить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можливість обслуговування обладнання з переробки та компостування окремо зібраних харчових та садових відходів, покращення якості</w:t>
      </w:r>
      <w:r w:rsidRPr="00E444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послуг. </w:t>
      </w:r>
      <w:r w:rsidR="00B62661" w:rsidRPr="00E444C3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</w:p>
    <w:p w:rsidR="007F04E1" w:rsidRDefault="007F04E1" w:rsidP="009B5C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</w:p>
    <w:p w:rsidR="00B62661" w:rsidRPr="0096607B" w:rsidRDefault="00B62661" w:rsidP="009B5C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uk-U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uk-UA"/>
        </w:rPr>
        <w:lastRenderedPageBreak/>
        <w:t>V</w:t>
      </w:r>
      <w:r w:rsidR="00E444C3" w:rsidRPr="00E444C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uk-UA"/>
        </w:rPr>
        <w:t>. Обґрунтування можливості досягнення певних цілей</w:t>
      </w:r>
      <w:r w:rsidR="00E444C3" w:rsidRPr="00E444C3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</w:p>
    <w:p w:rsidR="00B62661" w:rsidRPr="0096607B" w:rsidRDefault="00E444C3" w:rsidP="009B5C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uk-UA"/>
        </w:rPr>
      </w:pPr>
      <w:r w:rsidRPr="00E444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Запропонований регуляторний акт не вимагає додаткових матеріальних та інших витрат, не </w:t>
      </w:r>
      <w:r w:rsidR="00B6266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передбачає</w:t>
      </w:r>
      <w:r w:rsidRPr="00E444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додаткових організаційних заходів. Проект рішення не може привести до несподіваних наслідків, які унеможливлюють позитивний ефект від його впровадження.</w:t>
      </w:r>
    </w:p>
    <w:p w:rsidR="00BA0E44" w:rsidRPr="00BA0E44" w:rsidRDefault="00E444C3" w:rsidP="009B5C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uk-UA"/>
        </w:rPr>
      </w:pPr>
      <w:r w:rsidRPr="00E444C3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="00BA0E4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uk-UA"/>
        </w:rPr>
        <w:t>VI</w:t>
      </w:r>
      <w:r w:rsidRPr="00E444C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uk-UA"/>
        </w:rPr>
        <w:t>. Визначення очікуваних результатів від прийняття регуляторного акта</w:t>
      </w:r>
    </w:p>
    <w:p w:rsidR="00BA0E44" w:rsidRPr="0096607B" w:rsidRDefault="00BA0E44" w:rsidP="009B5C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</w:p>
    <w:p w:rsidR="00BA0E44" w:rsidRDefault="00E444C3" w:rsidP="009B5C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E444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Прийняття </w:t>
      </w:r>
      <w:r w:rsidR="00BA0E4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рішення</w:t>
      </w:r>
      <w:r w:rsidRPr="00E444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забезпечить відповідність застосовуваної вартості послуг</w:t>
      </w:r>
      <w:r w:rsidR="00BA0E44" w:rsidRPr="00BA0E44">
        <w:rPr>
          <w:rFonts w:ascii="Arial" w:hAnsi="Arial" w:cs="Arial"/>
          <w:sz w:val="24"/>
          <w:szCs w:val="24"/>
        </w:rPr>
        <w:t xml:space="preserve"> </w:t>
      </w:r>
      <w:r w:rsidR="00BA0E44">
        <w:rPr>
          <w:rFonts w:ascii="Arial" w:hAnsi="Arial" w:cs="Arial"/>
          <w:sz w:val="24"/>
          <w:szCs w:val="24"/>
        </w:rPr>
        <w:t>перероблення роздільно зібраних харчових та садових відходів для суб’єктів господарської діяльності,</w:t>
      </w:r>
      <w:r w:rsidRPr="00E444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економічно обґрунтованим витратам на їх надання.</w:t>
      </w:r>
    </w:p>
    <w:p w:rsidR="00BA0E44" w:rsidRDefault="00BA0E44" w:rsidP="009B5C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E444C3" w:rsidRPr="00E444C3" w:rsidRDefault="00E444C3" w:rsidP="009B5C9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E444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Очікуваними результатами прийняття пропонованого регуляторного акта є: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4186"/>
        <w:gridCol w:w="4827"/>
      </w:tblGrid>
      <w:tr w:rsidR="00E444C3" w:rsidRPr="00E444C3" w:rsidTr="00BA0E44">
        <w:trPr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4C3" w:rsidRPr="00E444C3" w:rsidRDefault="00E444C3" w:rsidP="009B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E44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Сфера інтересів територіальної громади</w:t>
            </w:r>
          </w:p>
        </w:tc>
      </w:tr>
      <w:tr w:rsidR="00E444C3" w:rsidRPr="00E444C3" w:rsidTr="00BA0E44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4C3" w:rsidRPr="00E444C3" w:rsidRDefault="00E444C3" w:rsidP="009B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E44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4C3" w:rsidRPr="00E444C3" w:rsidRDefault="00E444C3" w:rsidP="009B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E44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Врегулювання відносин між споживачами</w:t>
            </w:r>
            <w:r w:rsidR="00BA0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-</w:t>
            </w:r>
            <w:proofErr w:type="spellStart"/>
            <w:r w:rsidR="00BA0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суб</w:t>
            </w:r>
            <w:proofErr w:type="spellEnd"/>
            <w:r w:rsidR="00BA0E44" w:rsidRPr="00BA0E44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uk-UA"/>
              </w:rPr>
              <w:t>’</w:t>
            </w:r>
            <w:proofErr w:type="spellStart"/>
            <w:r w:rsidR="00BA0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єктами</w:t>
            </w:r>
            <w:proofErr w:type="spellEnd"/>
            <w:r w:rsidR="00BA0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господарської діяльності</w:t>
            </w:r>
          </w:p>
        </w:tc>
        <w:tc>
          <w:tcPr>
            <w:tcW w:w="2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4C3" w:rsidRPr="00E444C3" w:rsidRDefault="00E444C3" w:rsidP="009B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E44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Відкритість і прозорість вартості послуг, врегулювання відносин</w:t>
            </w:r>
            <w:r w:rsidR="00BA0E44" w:rsidRPr="00BA0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BA0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для організації надання послуг суб’єктам господарювання </w:t>
            </w:r>
          </w:p>
        </w:tc>
      </w:tr>
      <w:tr w:rsidR="00E444C3" w:rsidRPr="00E444C3" w:rsidTr="00BA0E44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4C3" w:rsidRPr="00E444C3" w:rsidRDefault="00E444C3" w:rsidP="009B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E44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4C3" w:rsidRPr="00E444C3" w:rsidRDefault="00E444C3" w:rsidP="009B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E44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Стабілізація фінансового стану ЛКП «</w:t>
            </w:r>
            <w:r w:rsidR="00BA0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Зелене місто</w:t>
            </w:r>
            <w:r w:rsidRPr="00E44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4C3" w:rsidRPr="00E444C3" w:rsidRDefault="00E444C3" w:rsidP="009B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E44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Встановлення органом місцевого самоврядування економічно обґрунтованої вартості </w:t>
            </w:r>
            <w:r w:rsidR="006B3B5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послуг для комунального підприємства</w:t>
            </w:r>
          </w:p>
        </w:tc>
      </w:tr>
      <w:tr w:rsidR="00E444C3" w:rsidRPr="00E444C3" w:rsidTr="00BA0E44">
        <w:trPr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4C3" w:rsidRPr="00E444C3" w:rsidRDefault="00E444C3" w:rsidP="009B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E44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Сфера інтересів органів місцевого самоврядування</w:t>
            </w:r>
          </w:p>
        </w:tc>
      </w:tr>
      <w:tr w:rsidR="00E444C3" w:rsidRPr="00E444C3" w:rsidTr="00BA0E44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4C3" w:rsidRPr="00E444C3" w:rsidRDefault="00E444C3" w:rsidP="009B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E44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4C3" w:rsidRPr="00E444C3" w:rsidRDefault="00E444C3" w:rsidP="009B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E44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Врегулювання відносин у сфері </w:t>
            </w:r>
            <w:r w:rsidR="006B3B5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поводження з побутовими відходами</w:t>
            </w:r>
          </w:p>
        </w:tc>
        <w:tc>
          <w:tcPr>
            <w:tcW w:w="2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4C3" w:rsidRPr="00E444C3" w:rsidRDefault="00E444C3" w:rsidP="009B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E44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Реалізація повноважень у частині встановлення вартості окремих видів послуг</w:t>
            </w:r>
          </w:p>
        </w:tc>
      </w:tr>
    </w:tbl>
    <w:p w:rsidR="006B3B54" w:rsidRDefault="006B3B54" w:rsidP="009B5C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</w:p>
    <w:p w:rsidR="00E444C3" w:rsidRDefault="00E444C3" w:rsidP="009B5C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E444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У випадку прийняття запропонованого регуляторного акта вигоди та витрати територіальної громади, суб'єктів господарювання, органів місцевого самоврядування будуть наступними:</w:t>
      </w:r>
    </w:p>
    <w:p w:rsidR="006B3B54" w:rsidRPr="00E444C3" w:rsidRDefault="006B3B54" w:rsidP="009B5C9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5"/>
        <w:gridCol w:w="4972"/>
        <w:gridCol w:w="2136"/>
      </w:tblGrid>
      <w:tr w:rsidR="00E444C3" w:rsidRPr="00E444C3" w:rsidTr="00E444C3">
        <w:trPr>
          <w:tblCellSpacing w:w="15" w:type="dxa"/>
        </w:trPr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4C3" w:rsidRPr="00E444C3" w:rsidRDefault="00E444C3" w:rsidP="009B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E44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Сфера впливу регуляторного акту</w:t>
            </w:r>
          </w:p>
        </w:tc>
        <w:tc>
          <w:tcPr>
            <w:tcW w:w="3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4C3" w:rsidRPr="00E444C3" w:rsidRDefault="00E444C3" w:rsidP="009B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E444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Очікувані результати</w:t>
            </w:r>
          </w:p>
        </w:tc>
      </w:tr>
      <w:tr w:rsidR="00E444C3" w:rsidRPr="00E444C3" w:rsidTr="00E444C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4C3" w:rsidRPr="00E444C3" w:rsidRDefault="00E444C3" w:rsidP="009B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4C3" w:rsidRPr="00E444C3" w:rsidRDefault="00E444C3" w:rsidP="009B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E44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Вигоди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4C3" w:rsidRPr="00E444C3" w:rsidRDefault="00E444C3" w:rsidP="009B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E44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Видатки</w:t>
            </w:r>
          </w:p>
        </w:tc>
      </w:tr>
      <w:tr w:rsidR="00E444C3" w:rsidRPr="00E444C3" w:rsidTr="00E444C3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4C3" w:rsidRPr="00E444C3" w:rsidRDefault="00E444C3" w:rsidP="009B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E44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Територіальна громада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4C3" w:rsidRPr="00E444C3" w:rsidRDefault="00E444C3" w:rsidP="009B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E44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Відкритість і прозорість вартості </w:t>
            </w:r>
            <w:r w:rsidR="006B3B5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відповідних</w:t>
            </w:r>
            <w:r w:rsidRPr="00E44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послуг, врегулювання відносин між споживачами та суб'єкт</w:t>
            </w:r>
            <w:r w:rsidR="006B3B5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ом надання послуг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4C3" w:rsidRPr="00E444C3" w:rsidRDefault="00E444C3" w:rsidP="009B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E44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Видатки, пов'язані з оплатою послуг</w:t>
            </w:r>
            <w:r w:rsidR="006B3B5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6B3B54">
              <w:rPr>
                <w:rFonts w:ascii="Arial" w:hAnsi="Arial" w:cs="Arial"/>
                <w:sz w:val="24"/>
                <w:szCs w:val="24"/>
              </w:rPr>
              <w:t>перероблення роздільно зібраних харчових та садових відходів для суб’єктів господарської діяльності</w:t>
            </w:r>
          </w:p>
        </w:tc>
      </w:tr>
      <w:tr w:rsidR="00E444C3" w:rsidRPr="00E444C3" w:rsidTr="00E444C3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4C3" w:rsidRDefault="00E444C3" w:rsidP="009B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E44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Суб'єкт господарювання</w:t>
            </w:r>
          </w:p>
          <w:p w:rsidR="006B3B54" w:rsidRPr="00E444C3" w:rsidRDefault="006B3B54" w:rsidP="009B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(надавач послуг)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4C3" w:rsidRPr="00E444C3" w:rsidRDefault="00E444C3" w:rsidP="009B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E44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Стабільність фінансового стану ЛКП «</w:t>
            </w:r>
            <w:r w:rsidR="006B3B5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Зелене місто</w:t>
            </w:r>
            <w:r w:rsidRPr="00E44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4C3" w:rsidRPr="00E444C3" w:rsidRDefault="00E444C3" w:rsidP="009B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E44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Видатки, пов'язані з наданням </w:t>
            </w:r>
            <w:r w:rsidR="006B3B54" w:rsidRPr="00E44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послуг</w:t>
            </w:r>
            <w:r w:rsidR="006B3B5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6B3B54">
              <w:rPr>
                <w:rFonts w:ascii="Arial" w:hAnsi="Arial" w:cs="Arial"/>
                <w:sz w:val="24"/>
                <w:szCs w:val="24"/>
              </w:rPr>
              <w:t xml:space="preserve">перероблення роздільно зібраних </w:t>
            </w:r>
            <w:r w:rsidR="006B3B54">
              <w:rPr>
                <w:rFonts w:ascii="Arial" w:hAnsi="Arial" w:cs="Arial"/>
                <w:sz w:val="24"/>
                <w:szCs w:val="24"/>
              </w:rPr>
              <w:lastRenderedPageBreak/>
              <w:t>харчових та садових відходів</w:t>
            </w:r>
          </w:p>
        </w:tc>
      </w:tr>
    </w:tbl>
    <w:p w:rsidR="006B3B54" w:rsidRPr="0096607B" w:rsidRDefault="00E444C3" w:rsidP="009B5C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uk-UA"/>
        </w:rPr>
      </w:pPr>
      <w:r w:rsidRPr="00E444C3">
        <w:rPr>
          <w:rFonts w:ascii="Arial" w:eastAsia="Times New Roman" w:hAnsi="Arial" w:cs="Arial"/>
          <w:color w:val="000000"/>
          <w:sz w:val="24"/>
          <w:szCs w:val="24"/>
          <w:lang w:eastAsia="uk-UA"/>
        </w:rPr>
        <w:lastRenderedPageBreak/>
        <w:br/>
      </w:r>
      <w:r w:rsidR="006B3B5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uk-UA"/>
        </w:rPr>
        <w:t>VII</w:t>
      </w:r>
      <w:r w:rsidRPr="00E444C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uk-UA"/>
        </w:rPr>
        <w:t>. Термін дії регуляторного акта</w:t>
      </w:r>
      <w:r w:rsidRPr="00E444C3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</w:p>
    <w:p w:rsidR="006B3B54" w:rsidRPr="006B3B54" w:rsidRDefault="00E444C3" w:rsidP="009B5C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E444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Термін дії запропонованого регуляторного акта - необмежений, з можливістю внесення до нього змін у випадку зміни чинного законодавства та в інших необхідних випадках.</w:t>
      </w:r>
    </w:p>
    <w:p w:rsidR="006B3B54" w:rsidRPr="0096607B" w:rsidRDefault="00E444C3" w:rsidP="009B5C9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E444C3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="006B3B5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uk-UA"/>
        </w:rPr>
        <w:t>VIII</w:t>
      </w:r>
      <w:r w:rsidRPr="00E444C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uk-UA"/>
        </w:rPr>
        <w:t>. Визначення показників результативності акта</w:t>
      </w:r>
    </w:p>
    <w:p w:rsidR="006B3B54" w:rsidRPr="0096607B" w:rsidRDefault="006B3B54" w:rsidP="009B5C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</w:p>
    <w:p w:rsidR="00D73EB4" w:rsidRPr="001965C0" w:rsidRDefault="00E444C3" w:rsidP="009B5C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uk-UA"/>
        </w:rPr>
      </w:pPr>
      <w:r w:rsidRPr="00E444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Відстеження результативності регуляторного акта буде здійснюватися шляхом аналізу </w:t>
      </w:r>
      <w:r w:rsidR="00D73E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обсягу тон </w:t>
      </w:r>
      <w:r w:rsidR="00D73EB4">
        <w:rPr>
          <w:rFonts w:ascii="Arial" w:hAnsi="Arial" w:cs="Arial"/>
          <w:sz w:val="24"/>
          <w:szCs w:val="24"/>
        </w:rPr>
        <w:t xml:space="preserve">перероблення роздільно зібраних харчових </w:t>
      </w:r>
      <w:r w:rsidR="00D73EB4" w:rsidRPr="00557B4B">
        <w:rPr>
          <w:rFonts w:ascii="Arial" w:hAnsi="Arial" w:cs="Arial"/>
          <w:sz w:val="24"/>
          <w:szCs w:val="24"/>
        </w:rPr>
        <w:t>та садових відходів</w:t>
      </w:r>
      <w:r w:rsidR="001965C0" w:rsidRPr="00557B4B">
        <w:rPr>
          <w:rFonts w:ascii="Arial" w:hAnsi="Arial" w:cs="Arial"/>
          <w:sz w:val="24"/>
          <w:szCs w:val="24"/>
        </w:rPr>
        <w:t xml:space="preserve"> на підставі звітів про відстеження результативності регуляторного акта</w:t>
      </w:r>
      <w:r w:rsidR="00D73EB4" w:rsidRPr="00557B4B">
        <w:rPr>
          <w:rFonts w:ascii="Arial" w:hAnsi="Arial" w:cs="Arial"/>
          <w:sz w:val="24"/>
          <w:szCs w:val="24"/>
        </w:rPr>
        <w:t>.</w:t>
      </w:r>
    </w:p>
    <w:p w:rsidR="00D73EB4" w:rsidRPr="00D73EB4" w:rsidRDefault="00E444C3" w:rsidP="009B5C9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uk-UA"/>
        </w:rPr>
      </w:pPr>
      <w:r w:rsidRPr="00E444C3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="00D73EB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uk-UA"/>
        </w:rPr>
        <w:t>IX</w:t>
      </w:r>
      <w:r w:rsidRPr="00E444C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uk-UA"/>
        </w:rPr>
        <w:t>.</w:t>
      </w:r>
      <w:r w:rsidRPr="00E444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 </w:t>
      </w:r>
      <w:r w:rsidRPr="00E444C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uk-UA"/>
        </w:rPr>
        <w:t>Визначення заходів, за допомогою яких буде здійснюватися відстеження результативності регуляторного акта</w:t>
      </w:r>
    </w:p>
    <w:p w:rsidR="00D73EB4" w:rsidRPr="0096607B" w:rsidRDefault="00D73EB4" w:rsidP="009B5C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</w:p>
    <w:p w:rsidR="00D73EB4" w:rsidRPr="00D73EB4" w:rsidRDefault="00E444C3" w:rsidP="009B5C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E444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З огляду на показники результативності, вказані у попередньому розділі, відстеження результативності даного регуляторного акта буде здійснюватися на основі статистичного методу дослідження.</w:t>
      </w:r>
    </w:p>
    <w:p w:rsidR="001965C0" w:rsidRDefault="00E444C3" w:rsidP="009B5C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E444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Базове відстеження результативності регуляторного акта буде здійснено через 6 місяців з моменту набрання чинності даного регуляторного акта.</w:t>
      </w:r>
    </w:p>
    <w:p w:rsidR="00D73EB4" w:rsidRPr="00DA4E30" w:rsidRDefault="00E444C3" w:rsidP="009B5C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E444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Повторне відстеження планується здійснити через 1 рік з моменту набрання чинності даного регуляторного акта.</w:t>
      </w:r>
    </w:p>
    <w:p w:rsidR="00D73EB4" w:rsidRDefault="00E444C3" w:rsidP="009B5C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E444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Періодичне відстеження результативності буде проводитися 1 раз кожні 3 роки від дня закінчення заходів щодо повторного відстеження результативності цього регуляторного акта.</w:t>
      </w:r>
    </w:p>
    <w:p w:rsidR="00DA4E30" w:rsidRPr="00DA4E30" w:rsidRDefault="00DA4E30" w:rsidP="009B5C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DA4E3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У разі виявлення неврегульованих та проблемних питань, шляхом аналізу якісних та кількісних показників дії цього регуляторного акта, будуть вноситись відповідні зміни.</w:t>
      </w:r>
    </w:p>
    <w:p w:rsidR="003B24E2" w:rsidRDefault="003B24E2" w:rsidP="009B5C9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</w:p>
    <w:p w:rsidR="003B24E2" w:rsidRDefault="003B24E2" w:rsidP="009B5C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uk-UA"/>
        </w:rPr>
        <w:t>X</w:t>
      </w:r>
      <w:r w:rsidRPr="00E444C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uk-UA"/>
        </w:rPr>
        <w:t>.</w:t>
      </w:r>
      <w:r w:rsidRPr="00E444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Оцінка виконання вимог регуляторного акта залежно від ресурсів, якими розпоряджаються суб’єкти, на яких поширюються вимоги </w:t>
      </w:r>
    </w:p>
    <w:p w:rsidR="003B24E2" w:rsidRDefault="003B24E2" w:rsidP="009B5C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</w:pPr>
    </w:p>
    <w:p w:rsidR="003B24E2" w:rsidRPr="0029575F" w:rsidRDefault="003B24E2" w:rsidP="009B5C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29575F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ТЕСТ</w:t>
      </w:r>
      <w:r w:rsidRPr="002957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Pr="0029575F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малого підприємництва (М-Тест)</w:t>
      </w:r>
    </w:p>
    <w:p w:rsidR="003B24E2" w:rsidRDefault="003B24E2" w:rsidP="009B5C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2957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Pr="002957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1.Консультації з представниками мікро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-</w:t>
      </w:r>
      <w:r w:rsidRPr="002957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та малого підприємництва щодо оцінки впливу регулювання.</w:t>
      </w:r>
    </w:p>
    <w:p w:rsidR="007F04E1" w:rsidRDefault="007F04E1" w:rsidP="007F04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3B24E2" w:rsidRDefault="003B24E2" w:rsidP="007F04E1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uk-UA"/>
        </w:rPr>
      </w:pPr>
      <w:r w:rsidRPr="002957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едено</w:t>
      </w:r>
      <w:r w:rsidRPr="002957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розробником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у період з 09 березня 2020 року по 09 квітня 2020 року. </w:t>
      </w:r>
    </w:p>
    <w:p w:rsidR="003B24E2" w:rsidRDefault="003B24E2" w:rsidP="009B5C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uk-UA"/>
        </w:rPr>
      </w:pPr>
    </w:p>
    <w:tbl>
      <w:tblPr>
        <w:tblStyle w:val="a6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834"/>
        <w:gridCol w:w="2994"/>
        <w:gridCol w:w="2369"/>
        <w:gridCol w:w="2426"/>
      </w:tblGrid>
      <w:tr w:rsidR="003B24E2" w:rsidTr="009B5C9C">
        <w:trPr>
          <w:tblCellSpacing w:w="20" w:type="dxa"/>
        </w:trPr>
        <w:tc>
          <w:tcPr>
            <w:tcW w:w="1809" w:type="dxa"/>
          </w:tcPr>
          <w:p w:rsidR="003B24E2" w:rsidRPr="003B24E2" w:rsidRDefault="003B24E2" w:rsidP="009B5C9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3B24E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Порядковий номер</w:t>
            </w:r>
          </w:p>
        </w:tc>
        <w:tc>
          <w:tcPr>
            <w:tcW w:w="3118" w:type="dxa"/>
          </w:tcPr>
          <w:p w:rsidR="003B24E2" w:rsidRPr="003B24E2" w:rsidRDefault="003B24E2" w:rsidP="009B5C9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3B24E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Вид консультації</w:t>
            </w:r>
          </w:p>
        </w:tc>
        <w:tc>
          <w:tcPr>
            <w:tcW w:w="2464" w:type="dxa"/>
          </w:tcPr>
          <w:p w:rsidR="003B24E2" w:rsidRPr="003B24E2" w:rsidRDefault="003B24E2" w:rsidP="009B5C9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3B24E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  <w:t>Кількість учасників консультації осіб</w:t>
            </w:r>
          </w:p>
        </w:tc>
        <w:tc>
          <w:tcPr>
            <w:tcW w:w="2464" w:type="dxa"/>
          </w:tcPr>
          <w:p w:rsidR="003B24E2" w:rsidRPr="003B24E2" w:rsidRDefault="003B24E2" w:rsidP="009B5C9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3B24E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  <w:t>Основні результати консультацій (опис)</w:t>
            </w:r>
          </w:p>
        </w:tc>
      </w:tr>
      <w:tr w:rsidR="003B24E2" w:rsidTr="009B5C9C">
        <w:trPr>
          <w:tblCellSpacing w:w="20" w:type="dxa"/>
        </w:trPr>
        <w:tc>
          <w:tcPr>
            <w:tcW w:w="1809" w:type="dxa"/>
          </w:tcPr>
          <w:p w:rsidR="003B24E2" w:rsidRPr="003B24E2" w:rsidRDefault="003B24E2" w:rsidP="009B5C9C">
            <w:pPr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uk-UA"/>
              </w:rPr>
            </w:pPr>
            <w:r w:rsidRPr="003B24E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uk-UA"/>
              </w:rPr>
              <w:t>1</w:t>
            </w:r>
          </w:p>
        </w:tc>
        <w:tc>
          <w:tcPr>
            <w:tcW w:w="3118" w:type="dxa"/>
          </w:tcPr>
          <w:p w:rsidR="003B24E2" w:rsidRPr="003B24E2" w:rsidRDefault="003B24E2" w:rsidP="009B5C9C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uk-UA"/>
              </w:rPr>
            </w:pPr>
            <w:r w:rsidRPr="003B24E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uk-UA"/>
              </w:rPr>
              <w:t xml:space="preserve">Робочі зустрічі з представниками </w:t>
            </w:r>
            <w:r w:rsidRPr="003B24E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uk-UA"/>
              </w:rPr>
              <w:lastRenderedPageBreak/>
              <w:t>суб’єктів господарювання</w:t>
            </w:r>
          </w:p>
        </w:tc>
        <w:tc>
          <w:tcPr>
            <w:tcW w:w="2464" w:type="dxa"/>
          </w:tcPr>
          <w:p w:rsidR="003B24E2" w:rsidRPr="003B24E2" w:rsidRDefault="003B24E2" w:rsidP="009B5C9C">
            <w:pPr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uk-UA"/>
              </w:rPr>
            </w:pPr>
            <w:r w:rsidRPr="003B24E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uk-UA"/>
              </w:rPr>
              <w:lastRenderedPageBreak/>
              <w:t>3</w:t>
            </w:r>
          </w:p>
        </w:tc>
        <w:tc>
          <w:tcPr>
            <w:tcW w:w="2464" w:type="dxa"/>
            <w:vMerge w:val="restart"/>
          </w:tcPr>
          <w:p w:rsidR="003B24E2" w:rsidRPr="003B24E2" w:rsidRDefault="003B24E2" w:rsidP="009B5C9C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uk-UA"/>
              </w:rPr>
            </w:pPr>
            <w:r w:rsidRPr="003B24E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uk-UA"/>
              </w:rPr>
              <w:t xml:space="preserve">Підтримано необхідність </w:t>
            </w:r>
            <w:r w:rsidRPr="003B24E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uk-UA"/>
              </w:rPr>
              <w:lastRenderedPageBreak/>
              <w:t>належного поводження з роздільно зібраними садовими та харчовими відходами та встановлення прозорого тарифу на надання послуг перероблення роздільно зібраних харчових та садових відходів для суб’єктів господарської діяльності</w:t>
            </w:r>
          </w:p>
        </w:tc>
      </w:tr>
      <w:tr w:rsidR="003B24E2" w:rsidTr="009B5C9C">
        <w:trPr>
          <w:tblCellSpacing w:w="20" w:type="dxa"/>
        </w:trPr>
        <w:tc>
          <w:tcPr>
            <w:tcW w:w="1809" w:type="dxa"/>
          </w:tcPr>
          <w:p w:rsidR="003B24E2" w:rsidRPr="003B24E2" w:rsidRDefault="003B24E2" w:rsidP="009B5C9C">
            <w:pPr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uk-UA"/>
              </w:rPr>
            </w:pPr>
            <w:r w:rsidRPr="003B24E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uk-UA"/>
              </w:rPr>
              <w:lastRenderedPageBreak/>
              <w:t>2</w:t>
            </w:r>
          </w:p>
        </w:tc>
        <w:tc>
          <w:tcPr>
            <w:tcW w:w="3118" w:type="dxa"/>
          </w:tcPr>
          <w:p w:rsidR="003B24E2" w:rsidRPr="003B24E2" w:rsidRDefault="003B24E2" w:rsidP="009B5C9C">
            <w:pPr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uk-UA"/>
              </w:rPr>
            </w:pPr>
            <w:r w:rsidRPr="003B24E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uk-UA"/>
              </w:rPr>
              <w:t>Телефонні консультації</w:t>
            </w:r>
          </w:p>
        </w:tc>
        <w:tc>
          <w:tcPr>
            <w:tcW w:w="2464" w:type="dxa"/>
          </w:tcPr>
          <w:p w:rsidR="003B24E2" w:rsidRPr="003B24E2" w:rsidRDefault="003B24E2" w:rsidP="009B5C9C">
            <w:pPr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uk-UA"/>
              </w:rPr>
            </w:pPr>
            <w:r w:rsidRPr="003B24E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uk-UA"/>
              </w:rPr>
              <w:t>4</w:t>
            </w:r>
          </w:p>
        </w:tc>
        <w:tc>
          <w:tcPr>
            <w:tcW w:w="2464" w:type="dxa"/>
            <w:vMerge/>
          </w:tcPr>
          <w:p w:rsidR="003B24E2" w:rsidRPr="003B24E2" w:rsidRDefault="003B24E2" w:rsidP="009B5C9C">
            <w:pPr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</w:tbl>
    <w:p w:rsidR="003B24E2" w:rsidRDefault="003B24E2" w:rsidP="009B5C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uk-UA"/>
        </w:rPr>
      </w:pPr>
    </w:p>
    <w:p w:rsidR="003B24E2" w:rsidRDefault="003B24E2" w:rsidP="009B5C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2957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Попередня оцінка впливу регулювання на суб’єктів малого підприємництва (мікро- та малі).</w:t>
      </w:r>
    </w:p>
    <w:p w:rsidR="007F04E1" w:rsidRDefault="007F04E1" w:rsidP="007F04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</w:p>
    <w:p w:rsidR="003B24E2" w:rsidRDefault="003B24E2" w:rsidP="009B5C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Кількість суб’єктів малого підприємництва, на яких поширюється регулювання:</w:t>
      </w:r>
      <w:r w:rsidR="007F04E1" w:rsidRPr="007F04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7 одиниць (кількість підприємств, що надають послуги з вивезення побутових відходів для населення).</w:t>
      </w:r>
      <w:r w:rsidRPr="002957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</w:t>
      </w:r>
    </w:p>
    <w:p w:rsidR="003B24E2" w:rsidRPr="0029575F" w:rsidRDefault="003B24E2" w:rsidP="009B5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2957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Pr="002957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3.Розрахунок витрат суб’єктів малого підприємництва на виконання вимог регулювання</w:t>
      </w:r>
      <w:r w:rsidRPr="0029575F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488"/>
        <w:gridCol w:w="2810"/>
        <w:gridCol w:w="302"/>
        <w:gridCol w:w="302"/>
        <w:gridCol w:w="1557"/>
        <w:gridCol w:w="498"/>
        <w:gridCol w:w="1059"/>
        <w:gridCol w:w="395"/>
        <w:gridCol w:w="1246"/>
      </w:tblGrid>
      <w:tr w:rsidR="003B24E2" w:rsidRPr="0029575F" w:rsidTr="00B76827">
        <w:trPr>
          <w:tblCellSpacing w:w="15" w:type="dxa"/>
        </w:trPr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Порядковий номер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Найменування оцінки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У перший рік (стартовий рік впровадження регулювання)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Періодичні (за наступний рік)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Витрати за</w:t>
            </w: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br/>
              <w:t>п’ять років</w:t>
            </w:r>
          </w:p>
        </w:tc>
      </w:tr>
      <w:tr w:rsidR="003B24E2" w:rsidRPr="0029575F" w:rsidTr="00B76827">
        <w:trPr>
          <w:tblCellSpacing w:w="15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Оцінка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«</w:t>
            </w: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прямих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»</w:t>
            </w: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витрат суб’єктів малого підприємництва на виконання регулювання</w:t>
            </w:r>
          </w:p>
        </w:tc>
      </w:tr>
      <w:tr w:rsidR="003B24E2" w:rsidRPr="0029575F" w:rsidTr="00B76827">
        <w:trPr>
          <w:tblCellSpacing w:w="15" w:type="dxa"/>
        </w:trPr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26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3B24E2" w:rsidRPr="0029575F" w:rsidTr="00B76827">
        <w:trPr>
          <w:tblCellSpacing w:w="15" w:type="dxa"/>
        </w:trPr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26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3B24E2" w:rsidRPr="0029575F" w:rsidTr="00B76827">
        <w:trPr>
          <w:tblCellSpacing w:w="15" w:type="dxa"/>
        </w:trPr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26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3B24E2" w:rsidRPr="0029575F" w:rsidTr="00B76827">
        <w:trPr>
          <w:tblCellSpacing w:w="15" w:type="dxa"/>
        </w:trPr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26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3B24E2" w:rsidRPr="0029575F" w:rsidTr="00B76827">
        <w:trPr>
          <w:tblCellSpacing w:w="15" w:type="dxa"/>
        </w:trPr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Інші процедури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3B24E2" w:rsidRPr="0029575F" w:rsidTr="00B76827">
        <w:trPr>
          <w:tblCellSpacing w:w="15" w:type="dxa"/>
        </w:trPr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Разом, (сума рядків 1 + 2 + 3 + 4 + 5) гривень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3B24E2" w:rsidRPr="0029575F" w:rsidTr="00B76827">
        <w:trPr>
          <w:tblCellSpacing w:w="15" w:type="dxa"/>
        </w:trPr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6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3B24E2" w:rsidRPr="0029575F" w:rsidTr="00B76827">
        <w:trPr>
          <w:tblCellSpacing w:w="15" w:type="dxa"/>
        </w:trPr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Сумарно, грн.</w:t>
            </w: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br/>
              <w:t>Формула: стовпчик «разом» Х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1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3B24E2" w:rsidRPr="0029575F" w:rsidTr="00B76827">
        <w:trPr>
          <w:tblCellSpacing w:w="15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3B24E2" w:rsidRPr="0029575F" w:rsidTr="00B76827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0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Процедури отримання первинної інформації про вимоги регулювання.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Не передбачено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Не передбачено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Не передбачено</w:t>
            </w:r>
          </w:p>
        </w:tc>
      </w:tr>
      <w:tr w:rsidR="003B24E2" w:rsidRPr="0029575F" w:rsidTr="00B76827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0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Процедури організації виконання вимог регулювання:</w:t>
            </w: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тариф на </w:t>
            </w:r>
            <w:r w:rsidRPr="00CE7A05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надання послуг перероблення роздільно зібраних харчових та садових відходів для суб’єктів господарської діяльності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за одну тону відходів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CE7A05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646,0</w:t>
            </w: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br/>
            </w: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br/>
            </w: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CE7A05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646,0</w:t>
            </w: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br/>
            </w: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br/>
            </w: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3 230,0</w:t>
            </w:r>
          </w:p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br/>
            </w: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br/>
            </w:r>
          </w:p>
        </w:tc>
      </w:tr>
      <w:tr w:rsidR="003B24E2" w:rsidRPr="0029575F" w:rsidTr="00B76827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0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Процедури офіційного звітування.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Не передбачено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Не передбачено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Не передбачено</w:t>
            </w:r>
          </w:p>
        </w:tc>
      </w:tr>
      <w:tr w:rsidR="003B24E2" w:rsidRPr="0029575F" w:rsidTr="00B76827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0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Процедури щодо забезпечення процесу перевірок.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Не передбачено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Не передбачено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Не передбачено</w:t>
            </w:r>
          </w:p>
        </w:tc>
      </w:tr>
      <w:tr w:rsidR="003B24E2" w:rsidRPr="0029575F" w:rsidTr="00B76827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0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Інші процедури (уточнити)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Не передбачено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Не перед-бачено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Не передбачено</w:t>
            </w:r>
          </w:p>
        </w:tc>
      </w:tr>
      <w:tr w:rsidR="003B24E2" w:rsidRPr="0029575F" w:rsidTr="00B76827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0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Разом, гривень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CE7A05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646,0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CE7A05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646,0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3 230,0</w:t>
            </w:r>
          </w:p>
        </w:tc>
      </w:tr>
      <w:tr w:rsidR="003B24E2" w:rsidRPr="0029575F" w:rsidTr="00B76827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0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24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3B24E2" w:rsidRPr="0029575F" w:rsidTr="00B76827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20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Сумарно, гривень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4 522</w:t>
            </w: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,5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4 522</w:t>
            </w: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,5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29575F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22 610,</w:t>
            </w:r>
            <w:r w:rsidRPr="0029575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</w:tbl>
    <w:p w:rsidR="003B24E2" w:rsidRDefault="003B24E2" w:rsidP="009B5C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</w:p>
    <w:p w:rsidR="003B24E2" w:rsidRDefault="003B24E2" w:rsidP="009B5C9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361486">
        <w:rPr>
          <w:rFonts w:ascii="Arial" w:eastAsia="Times New Roman" w:hAnsi="Arial" w:cs="Arial"/>
          <w:sz w:val="24"/>
          <w:szCs w:val="24"/>
          <w:shd w:val="clear" w:color="auto" w:fill="FFFFFF"/>
          <w:lang w:eastAsia="uk-UA"/>
        </w:rPr>
        <w:t>4.</w:t>
      </w:r>
      <w:r w:rsidRPr="00361486">
        <w:rPr>
          <w:rFonts w:ascii="Arial" w:hAnsi="Arial" w:cs="Arial"/>
          <w:sz w:val="24"/>
          <w:szCs w:val="24"/>
          <w:shd w:val="clear" w:color="auto" w:fill="FFFFFF"/>
        </w:rPr>
        <w:t>Бюджетні витрати на адміністрування регулювання суб’єктів малого підприємництва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</w:p>
    <w:p w:rsidR="007F04E1" w:rsidRDefault="007F04E1" w:rsidP="007F04E1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361486" w:rsidRDefault="00361486" w:rsidP="007F04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Розрахунок бюджетних витрат на адміністрування регулювання не здійснюється, тому що рішенням не регулюються питання діяльності органу місцевого самоврядування.</w:t>
      </w:r>
    </w:p>
    <w:p w:rsidR="00361486" w:rsidRDefault="00361486" w:rsidP="009B5C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  <w:gridCol w:w="1176"/>
        <w:gridCol w:w="1470"/>
        <w:gridCol w:w="1329"/>
        <w:gridCol w:w="2008"/>
        <w:gridCol w:w="1776"/>
      </w:tblGrid>
      <w:tr w:rsidR="00D5067B" w:rsidRPr="00BC4ECF" w:rsidTr="00D5067B">
        <w:trPr>
          <w:tblCellSpacing w:w="20" w:type="dxa"/>
        </w:trPr>
        <w:tc>
          <w:tcPr>
            <w:tcW w:w="937" w:type="pct"/>
            <w:shd w:val="clear" w:color="auto" w:fill="FFFFFF"/>
            <w:hideMark/>
          </w:tcPr>
          <w:p w:rsidR="003B24E2" w:rsidRPr="00FD3DC2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Процедура регулювання суб’єктів малого підприємництва (розрахунок </w:t>
            </w: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lastRenderedPageBreak/>
              <w:t>на одного типового суб’єкта господарювання малого підприємництва - за потреби окремо для суб’єктів малого та мікро-</w:t>
            </w:r>
            <w:proofErr w:type="spellStart"/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підприємництв</w:t>
            </w:r>
            <w:proofErr w:type="spellEnd"/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90" w:type="pct"/>
            <w:shd w:val="clear" w:color="auto" w:fill="FFFFFF"/>
            <w:hideMark/>
          </w:tcPr>
          <w:p w:rsidR="003B24E2" w:rsidRPr="00FD3DC2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lastRenderedPageBreak/>
              <w:t>Планові витрати часу на процедуру</w:t>
            </w:r>
          </w:p>
        </w:tc>
        <w:tc>
          <w:tcPr>
            <w:tcW w:w="743" w:type="pct"/>
            <w:shd w:val="clear" w:color="auto" w:fill="FFFFFF"/>
            <w:hideMark/>
          </w:tcPr>
          <w:p w:rsidR="003B24E2" w:rsidRPr="00FD3DC2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Вартість часу співробітника органу державної влади </w:t>
            </w: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lastRenderedPageBreak/>
              <w:t>відповідної категорії (заробітна плата)</w:t>
            </w:r>
          </w:p>
        </w:tc>
        <w:tc>
          <w:tcPr>
            <w:tcW w:w="670" w:type="pct"/>
            <w:shd w:val="clear" w:color="auto" w:fill="FFFFFF"/>
            <w:hideMark/>
          </w:tcPr>
          <w:p w:rsidR="003B24E2" w:rsidRPr="00FD3DC2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lastRenderedPageBreak/>
              <w:t xml:space="preserve">Оцінка кількості процедур за рік, що припадають на </w:t>
            </w: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lastRenderedPageBreak/>
              <w:t>одного суб’єкта</w:t>
            </w:r>
          </w:p>
        </w:tc>
        <w:tc>
          <w:tcPr>
            <w:tcW w:w="1023" w:type="pct"/>
            <w:shd w:val="clear" w:color="auto" w:fill="FFFFFF"/>
            <w:hideMark/>
          </w:tcPr>
          <w:p w:rsidR="003B24E2" w:rsidRPr="00FD3DC2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lastRenderedPageBreak/>
              <w:t>Оцінка кількості  суб’єктів, що підпадають під дію процедури регулювання</w:t>
            </w:r>
          </w:p>
        </w:tc>
        <w:tc>
          <w:tcPr>
            <w:tcW w:w="892" w:type="pct"/>
            <w:shd w:val="clear" w:color="auto" w:fill="FFFFFF"/>
            <w:hideMark/>
          </w:tcPr>
          <w:p w:rsidR="003B24E2" w:rsidRPr="00FD3DC2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Витрати на адміністрування регулювання* (за рік), гривень</w:t>
            </w:r>
          </w:p>
        </w:tc>
      </w:tr>
      <w:tr w:rsidR="00D5067B" w:rsidRPr="00BC4ECF" w:rsidTr="00D5067B">
        <w:trPr>
          <w:tblCellSpacing w:w="20" w:type="dxa"/>
        </w:trPr>
        <w:tc>
          <w:tcPr>
            <w:tcW w:w="937" w:type="pct"/>
            <w:shd w:val="clear" w:color="auto" w:fill="FFFFFF"/>
            <w:hideMark/>
          </w:tcPr>
          <w:p w:rsidR="003B24E2" w:rsidRPr="00FD3DC2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1. Облік суб’єкта господарювання, що перебуває у сфері регулювання</w:t>
            </w:r>
          </w:p>
        </w:tc>
        <w:tc>
          <w:tcPr>
            <w:tcW w:w="590" w:type="pct"/>
            <w:shd w:val="clear" w:color="auto" w:fill="FFFFFF"/>
            <w:hideMark/>
          </w:tcPr>
          <w:p w:rsidR="003B24E2" w:rsidRPr="00FD3DC2" w:rsidRDefault="009B5C9C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43" w:type="pct"/>
            <w:shd w:val="clear" w:color="auto" w:fill="FFFFFF"/>
            <w:hideMark/>
          </w:tcPr>
          <w:p w:rsidR="003B24E2" w:rsidRPr="00FD3DC2" w:rsidRDefault="009B5C9C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670" w:type="pct"/>
            <w:shd w:val="clear" w:color="auto" w:fill="FFFFFF"/>
            <w:hideMark/>
          </w:tcPr>
          <w:p w:rsidR="003B24E2" w:rsidRPr="00FD3DC2" w:rsidRDefault="009B5C9C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23" w:type="pct"/>
            <w:shd w:val="clear" w:color="auto" w:fill="FFFFFF"/>
            <w:hideMark/>
          </w:tcPr>
          <w:p w:rsidR="003B24E2" w:rsidRPr="00FD3DC2" w:rsidRDefault="009B5C9C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92" w:type="pct"/>
            <w:shd w:val="clear" w:color="auto" w:fill="FFFFFF"/>
            <w:hideMark/>
          </w:tcPr>
          <w:p w:rsidR="003B24E2" w:rsidRPr="00FD3DC2" w:rsidRDefault="009B5C9C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D5067B" w:rsidRPr="00BC4ECF" w:rsidTr="00D5067B">
        <w:trPr>
          <w:tblCellSpacing w:w="20" w:type="dxa"/>
        </w:trPr>
        <w:tc>
          <w:tcPr>
            <w:tcW w:w="937" w:type="pct"/>
            <w:shd w:val="clear" w:color="auto" w:fill="FFFFFF"/>
            <w:hideMark/>
          </w:tcPr>
          <w:p w:rsidR="003B24E2" w:rsidRPr="00FD3DC2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2. 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590" w:type="pct"/>
            <w:shd w:val="clear" w:color="auto" w:fill="FFFFFF"/>
            <w:hideMark/>
          </w:tcPr>
          <w:p w:rsidR="003B24E2" w:rsidRPr="00FD3DC2" w:rsidRDefault="009B5C9C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43" w:type="pct"/>
            <w:shd w:val="clear" w:color="auto" w:fill="FFFFFF"/>
            <w:hideMark/>
          </w:tcPr>
          <w:p w:rsidR="003B24E2" w:rsidRPr="00FD3DC2" w:rsidRDefault="009B5C9C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670" w:type="pct"/>
            <w:shd w:val="clear" w:color="auto" w:fill="FFFFFF"/>
            <w:hideMark/>
          </w:tcPr>
          <w:p w:rsidR="003B24E2" w:rsidRPr="00FD3DC2" w:rsidRDefault="009B5C9C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23" w:type="pct"/>
            <w:shd w:val="clear" w:color="auto" w:fill="FFFFFF"/>
            <w:hideMark/>
          </w:tcPr>
          <w:p w:rsidR="003B24E2" w:rsidRPr="00FD3DC2" w:rsidRDefault="009B5C9C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92" w:type="pct"/>
            <w:shd w:val="clear" w:color="auto" w:fill="FFFFFF"/>
            <w:hideMark/>
          </w:tcPr>
          <w:p w:rsidR="003B24E2" w:rsidRPr="00FD3DC2" w:rsidRDefault="009B5C9C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D5067B" w:rsidRPr="00BC4ECF" w:rsidTr="00D5067B">
        <w:trPr>
          <w:tblCellSpacing w:w="20" w:type="dxa"/>
        </w:trPr>
        <w:tc>
          <w:tcPr>
            <w:tcW w:w="937" w:type="pct"/>
            <w:shd w:val="clear" w:color="auto" w:fill="FFFFFF"/>
            <w:hideMark/>
          </w:tcPr>
          <w:p w:rsidR="003B24E2" w:rsidRPr="00FD3DC2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камеральні</w:t>
            </w:r>
          </w:p>
        </w:tc>
        <w:tc>
          <w:tcPr>
            <w:tcW w:w="590" w:type="pct"/>
            <w:shd w:val="clear" w:color="auto" w:fill="FFFFFF"/>
            <w:hideMark/>
          </w:tcPr>
          <w:p w:rsidR="003B24E2" w:rsidRPr="00FD3DC2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shd w:val="clear" w:color="auto" w:fill="FFFFFF"/>
            <w:hideMark/>
          </w:tcPr>
          <w:p w:rsidR="003B24E2" w:rsidRPr="00FD3DC2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0" w:type="pct"/>
            <w:shd w:val="clear" w:color="auto" w:fill="FFFFFF"/>
            <w:hideMark/>
          </w:tcPr>
          <w:p w:rsidR="003B24E2" w:rsidRPr="00FD3DC2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23" w:type="pct"/>
            <w:shd w:val="clear" w:color="auto" w:fill="FFFFFF"/>
            <w:hideMark/>
          </w:tcPr>
          <w:p w:rsidR="003B24E2" w:rsidRPr="00FD3DC2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3B24E2" w:rsidRPr="00FD3DC2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</w:tr>
      <w:tr w:rsidR="00D5067B" w:rsidRPr="00BC4ECF" w:rsidTr="00D5067B">
        <w:trPr>
          <w:tblCellSpacing w:w="20" w:type="dxa"/>
        </w:trPr>
        <w:tc>
          <w:tcPr>
            <w:tcW w:w="937" w:type="pct"/>
            <w:shd w:val="clear" w:color="auto" w:fill="FFFFFF"/>
            <w:hideMark/>
          </w:tcPr>
          <w:p w:rsidR="003B24E2" w:rsidRPr="00FD3DC2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виїзні</w:t>
            </w:r>
          </w:p>
        </w:tc>
        <w:tc>
          <w:tcPr>
            <w:tcW w:w="590" w:type="pct"/>
            <w:shd w:val="clear" w:color="auto" w:fill="FFFFFF"/>
            <w:hideMark/>
          </w:tcPr>
          <w:p w:rsidR="003B24E2" w:rsidRPr="00FD3DC2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shd w:val="clear" w:color="auto" w:fill="FFFFFF"/>
            <w:hideMark/>
          </w:tcPr>
          <w:p w:rsidR="003B24E2" w:rsidRPr="00FD3DC2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0" w:type="pct"/>
            <w:shd w:val="clear" w:color="auto" w:fill="FFFFFF"/>
            <w:hideMark/>
          </w:tcPr>
          <w:p w:rsidR="003B24E2" w:rsidRPr="00FD3DC2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23" w:type="pct"/>
            <w:shd w:val="clear" w:color="auto" w:fill="FFFFFF"/>
            <w:hideMark/>
          </w:tcPr>
          <w:p w:rsidR="003B24E2" w:rsidRPr="00FD3DC2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3B24E2" w:rsidRPr="00FD3DC2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</w:tr>
      <w:tr w:rsidR="00D5067B" w:rsidRPr="00BC4ECF" w:rsidTr="00D5067B">
        <w:trPr>
          <w:tblCellSpacing w:w="20" w:type="dxa"/>
        </w:trPr>
        <w:tc>
          <w:tcPr>
            <w:tcW w:w="937" w:type="pct"/>
            <w:shd w:val="clear" w:color="auto" w:fill="FFFFFF"/>
            <w:hideMark/>
          </w:tcPr>
          <w:p w:rsidR="003B24E2" w:rsidRPr="00FD3DC2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590" w:type="pct"/>
            <w:shd w:val="clear" w:color="auto" w:fill="FFFFFF"/>
            <w:hideMark/>
          </w:tcPr>
          <w:p w:rsidR="003B24E2" w:rsidRPr="00FD3DC2" w:rsidRDefault="009B5C9C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43" w:type="pct"/>
            <w:shd w:val="clear" w:color="auto" w:fill="FFFFFF"/>
            <w:hideMark/>
          </w:tcPr>
          <w:p w:rsidR="003B24E2" w:rsidRPr="00FD3DC2" w:rsidRDefault="009B5C9C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670" w:type="pct"/>
            <w:shd w:val="clear" w:color="auto" w:fill="FFFFFF"/>
            <w:hideMark/>
          </w:tcPr>
          <w:p w:rsidR="003B24E2" w:rsidRPr="00FD3DC2" w:rsidRDefault="009B5C9C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23" w:type="pct"/>
            <w:shd w:val="clear" w:color="auto" w:fill="FFFFFF"/>
            <w:hideMark/>
          </w:tcPr>
          <w:p w:rsidR="003B24E2" w:rsidRPr="00FD3DC2" w:rsidRDefault="009B5C9C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92" w:type="pct"/>
            <w:shd w:val="clear" w:color="auto" w:fill="FFFFFF"/>
            <w:hideMark/>
          </w:tcPr>
          <w:p w:rsidR="003B24E2" w:rsidRPr="00FD3DC2" w:rsidRDefault="009B5C9C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D5067B" w:rsidRPr="00BC4ECF" w:rsidTr="00D5067B">
        <w:trPr>
          <w:tblCellSpacing w:w="20" w:type="dxa"/>
        </w:trPr>
        <w:tc>
          <w:tcPr>
            <w:tcW w:w="937" w:type="pct"/>
            <w:shd w:val="clear" w:color="auto" w:fill="FFFFFF"/>
            <w:hideMark/>
          </w:tcPr>
          <w:p w:rsidR="003B24E2" w:rsidRPr="00FD3DC2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590" w:type="pct"/>
            <w:shd w:val="clear" w:color="auto" w:fill="FFFFFF"/>
            <w:hideMark/>
          </w:tcPr>
          <w:p w:rsidR="003B24E2" w:rsidRPr="00FD3DC2" w:rsidRDefault="009B5C9C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43" w:type="pct"/>
            <w:shd w:val="clear" w:color="auto" w:fill="FFFFFF"/>
            <w:hideMark/>
          </w:tcPr>
          <w:p w:rsidR="003B24E2" w:rsidRPr="00FD3DC2" w:rsidRDefault="009B5C9C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670" w:type="pct"/>
            <w:shd w:val="clear" w:color="auto" w:fill="FFFFFF"/>
            <w:hideMark/>
          </w:tcPr>
          <w:p w:rsidR="003B24E2" w:rsidRPr="00FD3DC2" w:rsidRDefault="009B5C9C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23" w:type="pct"/>
            <w:shd w:val="clear" w:color="auto" w:fill="FFFFFF"/>
            <w:hideMark/>
          </w:tcPr>
          <w:p w:rsidR="003B24E2" w:rsidRPr="00FD3DC2" w:rsidRDefault="009B5C9C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92" w:type="pct"/>
            <w:shd w:val="clear" w:color="auto" w:fill="FFFFFF"/>
            <w:hideMark/>
          </w:tcPr>
          <w:p w:rsidR="003B24E2" w:rsidRPr="00FD3DC2" w:rsidRDefault="009B5C9C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D5067B" w:rsidRPr="00BC4ECF" w:rsidTr="00D5067B">
        <w:trPr>
          <w:tblCellSpacing w:w="20" w:type="dxa"/>
        </w:trPr>
        <w:tc>
          <w:tcPr>
            <w:tcW w:w="937" w:type="pct"/>
            <w:shd w:val="clear" w:color="auto" w:fill="FFFFFF"/>
            <w:hideMark/>
          </w:tcPr>
          <w:p w:rsidR="003B24E2" w:rsidRPr="00FD3DC2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5. Оскарження одного окремого рішення суб’єктами </w:t>
            </w: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lastRenderedPageBreak/>
              <w:t>господарювання</w:t>
            </w:r>
          </w:p>
        </w:tc>
        <w:tc>
          <w:tcPr>
            <w:tcW w:w="590" w:type="pct"/>
            <w:shd w:val="clear" w:color="auto" w:fill="FFFFFF"/>
            <w:hideMark/>
          </w:tcPr>
          <w:p w:rsidR="003B24E2" w:rsidRPr="00FD3DC2" w:rsidRDefault="009B5C9C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lastRenderedPageBreak/>
              <w:t>Х</w:t>
            </w:r>
          </w:p>
        </w:tc>
        <w:tc>
          <w:tcPr>
            <w:tcW w:w="743" w:type="pct"/>
            <w:shd w:val="clear" w:color="auto" w:fill="FFFFFF"/>
            <w:hideMark/>
          </w:tcPr>
          <w:p w:rsidR="003B24E2" w:rsidRPr="00FD3DC2" w:rsidRDefault="009B5C9C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670" w:type="pct"/>
            <w:shd w:val="clear" w:color="auto" w:fill="FFFFFF"/>
            <w:hideMark/>
          </w:tcPr>
          <w:p w:rsidR="003B24E2" w:rsidRPr="00FD3DC2" w:rsidRDefault="009B5C9C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23" w:type="pct"/>
            <w:shd w:val="clear" w:color="auto" w:fill="FFFFFF"/>
            <w:hideMark/>
          </w:tcPr>
          <w:p w:rsidR="003B24E2" w:rsidRPr="00FD3DC2" w:rsidRDefault="009B5C9C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92" w:type="pct"/>
            <w:shd w:val="clear" w:color="auto" w:fill="FFFFFF"/>
            <w:hideMark/>
          </w:tcPr>
          <w:p w:rsidR="003B24E2" w:rsidRPr="00FD3DC2" w:rsidRDefault="009B5C9C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D5067B" w:rsidRPr="00BC4ECF" w:rsidTr="00D5067B">
        <w:trPr>
          <w:tblCellSpacing w:w="20" w:type="dxa"/>
        </w:trPr>
        <w:tc>
          <w:tcPr>
            <w:tcW w:w="937" w:type="pct"/>
            <w:shd w:val="clear" w:color="auto" w:fill="FFFFFF"/>
            <w:hideMark/>
          </w:tcPr>
          <w:p w:rsidR="003B24E2" w:rsidRPr="00FD3DC2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6. Підготовка звітності за результатами регулювання</w:t>
            </w:r>
          </w:p>
        </w:tc>
        <w:tc>
          <w:tcPr>
            <w:tcW w:w="590" w:type="pct"/>
            <w:shd w:val="clear" w:color="auto" w:fill="FFFFFF"/>
            <w:hideMark/>
          </w:tcPr>
          <w:p w:rsidR="003B24E2" w:rsidRPr="00FD3DC2" w:rsidRDefault="009B5C9C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43" w:type="pct"/>
            <w:shd w:val="clear" w:color="auto" w:fill="FFFFFF"/>
            <w:hideMark/>
          </w:tcPr>
          <w:p w:rsidR="003B24E2" w:rsidRPr="00FD3DC2" w:rsidRDefault="009B5C9C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670" w:type="pct"/>
            <w:shd w:val="clear" w:color="auto" w:fill="FFFFFF"/>
            <w:hideMark/>
          </w:tcPr>
          <w:p w:rsidR="003B24E2" w:rsidRPr="00FD3DC2" w:rsidRDefault="009B5C9C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23" w:type="pct"/>
            <w:shd w:val="clear" w:color="auto" w:fill="FFFFFF"/>
            <w:hideMark/>
          </w:tcPr>
          <w:p w:rsidR="003B24E2" w:rsidRPr="00FD3DC2" w:rsidRDefault="009B5C9C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92" w:type="pct"/>
            <w:shd w:val="clear" w:color="auto" w:fill="FFFFFF"/>
            <w:hideMark/>
          </w:tcPr>
          <w:p w:rsidR="003B24E2" w:rsidRPr="00FD3DC2" w:rsidRDefault="009B5C9C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3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D5067B" w:rsidRPr="00AC5F29" w:rsidTr="00D5067B">
        <w:trPr>
          <w:tblCellSpacing w:w="20" w:type="dxa"/>
        </w:trPr>
        <w:tc>
          <w:tcPr>
            <w:tcW w:w="937" w:type="pct"/>
            <w:shd w:val="clear" w:color="auto" w:fill="FFFFFF"/>
            <w:hideMark/>
          </w:tcPr>
          <w:p w:rsidR="003B24E2" w:rsidRPr="00AC5F29" w:rsidRDefault="003B24E2" w:rsidP="00D506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AC5F2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7. Інші адміністративні процедури (уточнити):</w:t>
            </w:r>
            <w:r w:rsidRPr="00AC5F2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br/>
            </w:r>
            <w:r w:rsidR="00D5067B" w:rsidRPr="00AC5F2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uk-UA"/>
              </w:rPr>
              <w:t>витрати на укладення договору</w:t>
            </w:r>
          </w:p>
        </w:tc>
        <w:tc>
          <w:tcPr>
            <w:tcW w:w="590" w:type="pct"/>
            <w:shd w:val="clear" w:color="auto" w:fill="FFFFFF"/>
            <w:hideMark/>
          </w:tcPr>
          <w:p w:rsidR="003B24E2" w:rsidRPr="00AC5F29" w:rsidRDefault="00D5067B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AC5F2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0,5 год.</w:t>
            </w:r>
          </w:p>
        </w:tc>
        <w:tc>
          <w:tcPr>
            <w:tcW w:w="743" w:type="pct"/>
            <w:shd w:val="clear" w:color="auto" w:fill="FFFFFF"/>
            <w:hideMark/>
          </w:tcPr>
          <w:p w:rsidR="003B24E2" w:rsidRPr="00AC5F29" w:rsidRDefault="00D5067B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AC5F2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22,41 грн.</w:t>
            </w:r>
          </w:p>
        </w:tc>
        <w:tc>
          <w:tcPr>
            <w:tcW w:w="670" w:type="pct"/>
            <w:shd w:val="clear" w:color="auto" w:fill="FFFFFF"/>
            <w:hideMark/>
          </w:tcPr>
          <w:p w:rsidR="003B24E2" w:rsidRPr="00AC5F29" w:rsidRDefault="00D5067B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AC5F2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23" w:type="pct"/>
            <w:shd w:val="clear" w:color="auto" w:fill="FFFFFF"/>
            <w:hideMark/>
          </w:tcPr>
          <w:p w:rsidR="003B24E2" w:rsidRPr="00AC5F29" w:rsidRDefault="00D5067B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AC5F2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892" w:type="pct"/>
            <w:shd w:val="clear" w:color="auto" w:fill="FFFFFF"/>
            <w:hideMark/>
          </w:tcPr>
          <w:p w:rsidR="003B24E2" w:rsidRPr="00AC5F29" w:rsidRDefault="00D5067B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AC5F2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78,44 грн.</w:t>
            </w:r>
          </w:p>
        </w:tc>
      </w:tr>
      <w:tr w:rsidR="00D5067B" w:rsidRPr="00AC5F29" w:rsidTr="00D5067B">
        <w:trPr>
          <w:tblCellSpacing w:w="20" w:type="dxa"/>
        </w:trPr>
        <w:tc>
          <w:tcPr>
            <w:tcW w:w="937" w:type="pct"/>
            <w:shd w:val="clear" w:color="auto" w:fill="FFFFFF"/>
            <w:hideMark/>
          </w:tcPr>
          <w:p w:rsidR="00D5067B" w:rsidRPr="00AC5F29" w:rsidRDefault="00D5067B" w:rsidP="00D506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AC5F2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Разом за рік</w:t>
            </w:r>
          </w:p>
        </w:tc>
        <w:tc>
          <w:tcPr>
            <w:tcW w:w="590" w:type="pct"/>
            <w:shd w:val="clear" w:color="auto" w:fill="FFFFFF"/>
            <w:hideMark/>
          </w:tcPr>
          <w:p w:rsidR="00D5067B" w:rsidRPr="00AC5F29" w:rsidRDefault="00D5067B" w:rsidP="00D506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AC5F2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0,5 год.</w:t>
            </w:r>
          </w:p>
        </w:tc>
        <w:tc>
          <w:tcPr>
            <w:tcW w:w="743" w:type="pct"/>
            <w:shd w:val="clear" w:color="auto" w:fill="FFFFFF"/>
            <w:hideMark/>
          </w:tcPr>
          <w:p w:rsidR="00D5067B" w:rsidRPr="00AC5F29" w:rsidRDefault="00D5067B" w:rsidP="00D506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AC5F2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22,41 грн.</w:t>
            </w:r>
          </w:p>
        </w:tc>
        <w:tc>
          <w:tcPr>
            <w:tcW w:w="670" w:type="pct"/>
            <w:shd w:val="clear" w:color="auto" w:fill="FFFFFF"/>
            <w:hideMark/>
          </w:tcPr>
          <w:p w:rsidR="00D5067B" w:rsidRPr="00AC5F29" w:rsidRDefault="00D5067B" w:rsidP="00D506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AC5F2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23" w:type="pct"/>
            <w:shd w:val="clear" w:color="auto" w:fill="FFFFFF"/>
            <w:hideMark/>
          </w:tcPr>
          <w:p w:rsidR="00D5067B" w:rsidRPr="00AC5F29" w:rsidRDefault="00D5067B" w:rsidP="00D506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AC5F2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892" w:type="pct"/>
            <w:shd w:val="clear" w:color="auto" w:fill="FFFFFF"/>
            <w:hideMark/>
          </w:tcPr>
          <w:p w:rsidR="00D5067B" w:rsidRPr="00AC5F29" w:rsidRDefault="00D5067B" w:rsidP="00D506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AC5F2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78,44 грн.</w:t>
            </w:r>
          </w:p>
        </w:tc>
      </w:tr>
      <w:tr w:rsidR="00D5067B" w:rsidRPr="00AC5F29" w:rsidTr="00D5067B">
        <w:trPr>
          <w:tblCellSpacing w:w="20" w:type="dxa"/>
        </w:trPr>
        <w:tc>
          <w:tcPr>
            <w:tcW w:w="937" w:type="pct"/>
            <w:shd w:val="clear" w:color="auto" w:fill="FFFFFF"/>
            <w:hideMark/>
          </w:tcPr>
          <w:p w:rsidR="003B24E2" w:rsidRPr="00AC5F29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AC5F2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Сумарно за п’ять років</w:t>
            </w:r>
          </w:p>
        </w:tc>
        <w:tc>
          <w:tcPr>
            <w:tcW w:w="590" w:type="pct"/>
            <w:shd w:val="clear" w:color="auto" w:fill="FFFFFF"/>
            <w:hideMark/>
          </w:tcPr>
          <w:p w:rsidR="003B24E2" w:rsidRPr="00AC5F29" w:rsidRDefault="00D5067B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AC5F2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2,5 год.</w:t>
            </w:r>
          </w:p>
        </w:tc>
        <w:tc>
          <w:tcPr>
            <w:tcW w:w="743" w:type="pct"/>
            <w:shd w:val="clear" w:color="auto" w:fill="FFFFFF"/>
            <w:hideMark/>
          </w:tcPr>
          <w:p w:rsidR="003B24E2" w:rsidRPr="00AC5F29" w:rsidRDefault="00D5067B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AC5F2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112,05 грн.</w:t>
            </w:r>
          </w:p>
        </w:tc>
        <w:tc>
          <w:tcPr>
            <w:tcW w:w="670" w:type="pct"/>
            <w:shd w:val="clear" w:color="auto" w:fill="FFFFFF"/>
            <w:hideMark/>
          </w:tcPr>
          <w:p w:rsidR="003B24E2" w:rsidRPr="00AC5F29" w:rsidRDefault="00D5067B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AC5F2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23" w:type="pct"/>
            <w:shd w:val="clear" w:color="auto" w:fill="FFFFFF"/>
            <w:hideMark/>
          </w:tcPr>
          <w:p w:rsidR="003B24E2" w:rsidRPr="00AC5F29" w:rsidRDefault="00D5067B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AC5F2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92" w:type="pct"/>
            <w:shd w:val="clear" w:color="auto" w:fill="FFFFFF"/>
            <w:hideMark/>
          </w:tcPr>
          <w:p w:rsidR="003B24E2" w:rsidRPr="00AC5F29" w:rsidRDefault="00D5067B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AC5F2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392,20 грн.</w:t>
            </w:r>
          </w:p>
        </w:tc>
      </w:tr>
    </w:tbl>
    <w:p w:rsidR="003B24E2" w:rsidRPr="00AC5F29" w:rsidRDefault="003B24E2" w:rsidP="009B5C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</w:p>
    <w:p w:rsidR="003B24E2" w:rsidRPr="00AC5F29" w:rsidRDefault="003B24E2" w:rsidP="009B5C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AC5F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5.Розрахунок сумарних витрат суб’єктів малого підприємництва на виконання вимог регулювання</w:t>
      </w:r>
    </w:p>
    <w:p w:rsidR="003B24E2" w:rsidRPr="00AC5F29" w:rsidRDefault="003B24E2" w:rsidP="009B5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3675"/>
        <w:gridCol w:w="2190"/>
        <w:gridCol w:w="2730"/>
      </w:tblGrid>
      <w:tr w:rsidR="003B24E2" w:rsidRPr="00AC5F29" w:rsidTr="00B76827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AC5F29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AC5F2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Поряд-</w:t>
            </w:r>
            <w:proofErr w:type="spellStart"/>
            <w:r w:rsidRPr="00AC5F2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ковий</w:t>
            </w:r>
            <w:proofErr w:type="spellEnd"/>
            <w:r w:rsidRPr="00AC5F2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номер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AC5F29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AC5F2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AC5F29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AC5F2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Перший рік регулювання (стартовий)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AC5F29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AC5F2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За п’ять років</w:t>
            </w:r>
          </w:p>
        </w:tc>
      </w:tr>
      <w:tr w:rsidR="003B24E2" w:rsidRPr="00AC5F29" w:rsidTr="009B5C9C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AC5F29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AC5F2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AC5F29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C5F29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AC5F29" w:rsidRDefault="003B24E2" w:rsidP="009B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C5F29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4 522,5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AC5F29" w:rsidRDefault="003B24E2" w:rsidP="009B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C5F29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22 610,0</w:t>
            </w:r>
          </w:p>
        </w:tc>
      </w:tr>
      <w:tr w:rsidR="003B24E2" w:rsidRPr="00AC5F29" w:rsidTr="009B5C9C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AC5F29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AC5F2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AC5F29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C5F29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AC5F29" w:rsidRDefault="003B24E2" w:rsidP="009B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C5F29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AC5F29" w:rsidRDefault="003B24E2" w:rsidP="009B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C5F29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Х</w:t>
            </w:r>
          </w:p>
        </w:tc>
      </w:tr>
      <w:tr w:rsidR="003B24E2" w:rsidRPr="00AC5F29" w:rsidTr="009B5C9C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AC5F29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AC5F2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AC5F29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C5F29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AC5F29" w:rsidRDefault="003B24E2" w:rsidP="009B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C5F29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AC5F29" w:rsidRDefault="003B24E2" w:rsidP="009B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C5F29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Х</w:t>
            </w:r>
          </w:p>
        </w:tc>
      </w:tr>
      <w:tr w:rsidR="003B24E2" w:rsidRPr="00AC5F29" w:rsidTr="009B5C9C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AC5F29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AC5F2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AC5F29" w:rsidRDefault="00604C1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C5F29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Бюджетні витрати на адміністру</w:t>
            </w:r>
            <w:r w:rsidR="003B24E2" w:rsidRPr="00AC5F29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вання регулювання суб’єктів малого підприємництва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AC5F29" w:rsidRDefault="00604C12" w:rsidP="009B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C5F29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112,05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AC5F29" w:rsidRDefault="00604C12" w:rsidP="009B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C5F29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392,20</w:t>
            </w:r>
          </w:p>
        </w:tc>
      </w:tr>
      <w:tr w:rsidR="003B24E2" w:rsidRPr="00AC5F29" w:rsidTr="009B5C9C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AC5F29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AC5F2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AC5F29" w:rsidRDefault="003B24E2" w:rsidP="009B5C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C5F29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Сумарні витрати на виконання запланованого регулювання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AC5F29" w:rsidRDefault="00604C12" w:rsidP="009B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C5F29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4 634,55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4E2" w:rsidRPr="00AC5F29" w:rsidRDefault="00604C12" w:rsidP="009B5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C5F29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23 002,20</w:t>
            </w:r>
          </w:p>
        </w:tc>
      </w:tr>
    </w:tbl>
    <w:p w:rsidR="003B24E2" w:rsidRPr="00E444C3" w:rsidRDefault="003B24E2" w:rsidP="009462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AC5F29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Pr="00AC5F29">
        <w:rPr>
          <w:rFonts w:ascii="Arial" w:hAnsi="Arial" w:cs="Arial"/>
          <w:sz w:val="24"/>
          <w:szCs w:val="24"/>
        </w:rPr>
        <w:t xml:space="preserve">Зазначена сума є прийнятною для 7 суб’єктів малого підприємництва і впровадження компенсаторних (пом’якшувальних) процедур не потрібно. </w:t>
      </w:r>
      <w:r w:rsidRPr="00AC5F29">
        <w:rPr>
          <w:rFonts w:ascii="Arial" w:eastAsia="Times New Roman" w:hAnsi="Arial" w:cs="Arial"/>
          <w:sz w:val="24"/>
          <w:szCs w:val="24"/>
          <w:shd w:val="clear" w:color="auto" w:fill="FFFFFF"/>
          <w:lang w:eastAsia="uk-UA"/>
        </w:rPr>
        <w:t>Витрати суб’єктів господарювання малого підприємництва, які виникають внаслідок дії регуляторного акта будуть в межах тарифу на надання</w:t>
      </w:r>
      <w:r w:rsidRPr="00AC5F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послуг перероблення роздільно зібраних харчових та садових відходів для суб’єктів господарської діяльності; підготовка договору на надання таких послуг здійснюється надавачем послуг, відповідно </w:t>
      </w:r>
      <w:proofErr w:type="spellStart"/>
      <w:r w:rsidRPr="00AC5F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найм</w:t>
      </w:r>
      <w:proofErr w:type="spellEnd"/>
      <w:r w:rsidRPr="00AC5F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д</w:t>
      </w:r>
      <w:r w:rsidRPr="002957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одаткового персоналу не потребується.</w:t>
      </w:r>
      <w:bookmarkStart w:id="3" w:name="_GoBack"/>
      <w:bookmarkEnd w:id="3"/>
    </w:p>
    <w:sectPr w:rsidR="003B24E2" w:rsidRPr="00E444C3" w:rsidSect="009401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A49"/>
    <w:multiLevelType w:val="hybridMultilevel"/>
    <w:tmpl w:val="3F70286A"/>
    <w:lvl w:ilvl="0" w:tplc="AEA8DE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C3"/>
    <w:rsid w:val="0002174E"/>
    <w:rsid w:val="0003209D"/>
    <w:rsid w:val="00087A27"/>
    <w:rsid w:val="000C43A6"/>
    <w:rsid w:val="000F02E1"/>
    <w:rsid w:val="001619EF"/>
    <w:rsid w:val="001965C0"/>
    <w:rsid w:val="002E6F5E"/>
    <w:rsid w:val="00322D81"/>
    <w:rsid w:val="003565D1"/>
    <w:rsid w:val="00361486"/>
    <w:rsid w:val="003B24E2"/>
    <w:rsid w:val="003F338A"/>
    <w:rsid w:val="00471A71"/>
    <w:rsid w:val="004B6698"/>
    <w:rsid w:val="00512ADE"/>
    <w:rsid w:val="00557B4B"/>
    <w:rsid w:val="00583C89"/>
    <w:rsid w:val="00604C12"/>
    <w:rsid w:val="006B3B54"/>
    <w:rsid w:val="006D7486"/>
    <w:rsid w:val="007320CC"/>
    <w:rsid w:val="007F04E1"/>
    <w:rsid w:val="008A28BA"/>
    <w:rsid w:val="00913C27"/>
    <w:rsid w:val="0094010B"/>
    <w:rsid w:val="00946233"/>
    <w:rsid w:val="00957962"/>
    <w:rsid w:val="0096607B"/>
    <w:rsid w:val="009B5C9C"/>
    <w:rsid w:val="00AC5F29"/>
    <w:rsid w:val="00B54B36"/>
    <w:rsid w:val="00B62661"/>
    <w:rsid w:val="00BA0E44"/>
    <w:rsid w:val="00BA2D33"/>
    <w:rsid w:val="00CE39CB"/>
    <w:rsid w:val="00D45CA0"/>
    <w:rsid w:val="00D5067B"/>
    <w:rsid w:val="00D65E14"/>
    <w:rsid w:val="00D73EB4"/>
    <w:rsid w:val="00DA4E30"/>
    <w:rsid w:val="00DF00C9"/>
    <w:rsid w:val="00E444C3"/>
    <w:rsid w:val="00E70CD6"/>
    <w:rsid w:val="00FB4799"/>
    <w:rsid w:val="00FD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62CAF-B2EB-4247-8BA5-85739681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E4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E444C3"/>
  </w:style>
  <w:style w:type="character" w:styleId="a4">
    <w:name w:val="Hyperlink"/>
    <w:basedOn w:val="a0"/>
    <w:uiPriority w:val="99"/>
    <w:semiHidden/>
    <w:unhideWhenUsed/>
    <w:rsid w:val="00E444C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607B"/>
    <w:pPr>
      <w:ind w:left="720"/>
      <w:contextualSpacing/>
    </w:pPr>
  </w:style>
  <w:style w:type="table" w:styleId="a6">
    <w:name w:val="Table Grid"/>
    <w:basedOn w:val="a1"/>
    <w:uiPriority w:val="59"/>
    <w:rsid w:val="003B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9402</Words>
  <Characters>5360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lutsiv.mykhailo</dc:creator>
  <cp:lastModifiedBy>Ковтун Христина</cp:lastModifiedBy>
  <cp:revision>4</cp:revision>
  <dcterms:created xsi:type="dcterms:W3CDTF">2020-04-30T12:04:00Z</dcterms:created>
  <dcterms:modified xsi:type="dcterms:W3CDTF">2020-04-30T12:13:00Z</dcterms:modified>
</cp:coreProperties>
</file>