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FD0" w:rsidRPr="004C2FD0" w:rsidRDefault="004C2FD0" w:rsidP="004C2FD0">
      <w:pPr>
        <w:jc w:val="center"/>
        <w:rPr>
          <w:rFonts w:ascii="Times New Roman" w:hAnsi="Times New Roman" w:cs="Times New Roman"/>
          <w:b/>
          <w:sz w:val="24"/>
          <w:szCs w:val="24"/>
          <w:lang w:eastAsia="uk-UA"/>
        </w:rPr>
      </w:pPr>
      <w:r w:rsidRPr="004C2FD0">
        <w:rPr>
          <w:rFonts w:ascii="Times New Roman" w:hAnsi="Times New Roman" w:cs="Times New Roman"/>
          <w:b/>
          <w:sz w:val="24"/>
          <w:szCs w:val="24"/>
          <w:lang w:eastAsia="uk-UA"/>
        </w:rPr>
        <w:t>Аналіз</w:t>
      </w:r>
    </w:p>
    <w:p w:rsidR="004C2FD0" w:rsidRPr="004C2FD0" w:rsidRDefault="004C2FD0" w:rsidP="004C2FD0">
      <w:pPr>
        <w:spacing w:after="0"/>
        <w:jc w:val="center"/>
        <w:rPr>
          <w:rFonts w:ascii="Times New Roman" w:hAnsi="Times New Roman" w:cs="Times New Roman"/>
          <w:b/>
          <w:sz w:val="24"/>
          <w:szCs w:val="24"/>
          <w:lang w:eastAsia="uk-UA"/>
        </w:rPr>
      </w:pPr>
      <w:r w:rsidRPr="004C2FD0">
        <w:rPr>
          <w:rFonts w:ascii="Times New Roman" w:hAnsi="Times New Roman" w:cs="Times New Roman"/>
          <w:b/>
          <w:sz w:val="24"/>
          <w:szCs w:val="24"/>
          <w:lang w:eastAsia="uk-UA"/>
        </w:rPr>
        <w:t>регуляторного впливу проекту рішення Луцької</w:t>
      </w:r>
    </w:p>
    <w:p w:rsidR="004C2FD0" w:rsidRPr="004C2FD0" w:rsidRDefault="004C2FD0" w:rsidP="004C2FD0">
      <w:pPr>
        <w:spacing w:after="0"/>
        <w:jc w:val="center"/>
        <w:rPr>
          <w:rFonts w:ascii="Times New Roman" w:hAnsi="Times New Roman" w:cs="Times New Roman"/>
          <w:b/>
          <w:sz w:val="24"/>
          <w:szCs w:val="24"/>
          <w:lang w:eastAsia="uk-UA"/>
        </w:rPr>
      </w:pPr>
      <w:r w:rsidRPr="004C2FD0">
        <w:rPr>
          <w:rFonts w:ascii="Times New Roman" w:hAnsi="Times New Roman" w:cs="Times New Roman"/>
          <w:b/>
          <w:sz w:val="24"/>
          <w:szCs w:val="24"/>
          <w:lang w:eastAsia="uk-UA"/>
        </w:rPr>
        <w:t>міської ради «Про встановлення ставок зі сплати податку на нерухоме майно, відмінне від земельної ділянки»</w:t>
      </w:r>
    </w:p>
    <w:p w:rsidR="004C2FD0" w:rsidRPr="004C2FD0" w:rsidRDefault="004C2FD0" w:rsidP="004C2FD0">
      <w:pPr>
        <w:jc w:val="both"/>
        <w:rPr>
          <w:rFonts w:ascii="Times New Roman" w:hAnsi="Times New Roman" w:cs="Times New Roman"/>
          <w:b/>
          <w:sz w:val="24"/>
          <w:szCs w:val="24"/>
          <w:lang w:eastAsia="uk-UA"/>
        </w:rPr>
      </w:pPr>
      <w:r w:rsidRPr="004C2FD0">
        <w:rPr>
          <w:rFonts w:ascii="Times New Roman" w:hAnsi="Times New Roman" w:cs="Times New Roman"/>
          <w:b/>
          <w:sz w:val="24"/>
          <w:szCs w:val="24"/>
          <w:lang w:eastAsia="uk-UA"/>
        </w:rPr>
        <w:t> </w:t>
      </w:r>
    </w:p>
    <w:p w:rsidR="00F566AD" w:rsidRPr="00F566AD" w:rsidRDefault="00F566AD" w:rsidP="00F566AD">
      <w:pPr>
        <w:ind w:firstLine="708"/>
        <w:jc w:val="both"/>
        <w:rPr>
          <w:rFonts w:ascii="Times New Roman" w:hAnsi="Times New Roman" w:cs="Times New Roman"/>
          <w:sz w:val="24"/>
          <w:szCs w:val="24"/>
        </w:rPr>
      </w:pPr>
      <w:r w:rsidRPr="00F566AD">
        <w:rPr>
          <w:rFonts w:ascii="Times New Roman" w:hAnsi="Times New Roman" w:cs="Times New Roman"/>
          <w:sz w:val="24"/>
          <w:szCs w:val="24"/>
        </w:rPr>
        <w:t>Цей аналіз регуляторного впливу розроблений відповідно до вимог Закону України від 11.09.2003 № 1160-IV «Про засади державної регуляторної  політики у сфері господарської діяльності», постанови Кабінету Міністрів України від 11.03.2004 № 308 «</w:t>
      </w:r>
      <w:r w:rsidRPr="00F566AD">
        <w:rPr>
          <w:rFonts w:ascii="Times New Roman" w:hAnsi="Times New Roman" w:cs="Times New Roman"/>
          <w:bCs/>
          <w:sz w:val="24"/>
          <w:szCs w:val="24"/>
          <w:bdr w:val="none" w:sz="0" w:space="0" w:color="auto" w:frame="1"/>
        </w:rPr>
        <w:t>Про затвердження методик проведення аналізу впливу та відстеження результативності регуляторного акта»,</w:t>
      </w:r>
      <w:r w:rsidRPr="00F566AD">
        <w:rPr>
          <w:rFonts w:ascii="Times New Roman" w:hAnsi="Times New Roman" w:cs="Times New Roman"/>
          <w:sz w:val="24"/>
          <w:szCs w:val="24"/>
        </w:rPr>
        <w:t xml:space="preserve"> Податкового кодексу України від 02.12.2010 № 2755-VI (зі змінами) та постанови Кабінету Міністрів України від 24.05.2017 № 483 «Про затвердження форм типових рішень про встановлення ставок та пільг із сплати земельного податку та податку на нерухоме майно, відмінне від земельної ділянки».</w:t>
      </w:r>
    </w:p>
    <w:p w:rsidR="00F566AD" w:rsidRPr="009A09F6" w:rsidRDefault="00F566AD" w:rsidP="00F566AD">
      <w:pPr>
        <w:pStyle w:val="HTML"/>
        <w:shd w:val="clear" w:color="auto" w:fill="FFFFFF"/>
        <w:ind w:firstLine="709"/>
        <w:jc w:val="both"/>
        <w:textAlignment w:val="baseline"/>
        <w:rPr>
          <w:rFonts w:ascii="Times New Roman" w:hAnsi="Times New Roman" w:cs="Times New Roman"/>
          <w:sz w:val="28"/>
          <w:szCs w:val="28"/>
        </w:rPr>
      </w:pPr>
    </w:p>
    <w:p w:rsidR="00F566AD" w:rsidRPr="00F566AD" w:rsidRDefault="00F566AD" w:rsidP="00F566AD">
      <w:pPr>
        <w:spacing w:after="0"/>
        <w:jc w:val="center"/>
        <w:rPr>
          <w:rFonts w:ascii="Times New Roman" w:hAnsi="Times New Roman" w:cs="Times New Roman"/>
          <w:b/>
          <w:sz w:val="24"/>
          <w:szCs w:val="24"/>
        </w:rPr>
      </w:pPr>
      <w:r w:rsidRPr="00F566AD">
        <w:rPr>
          <w:rFonts w:ascii="Times New Roman" w:hAnsi="Times New Roman" w:cs="Times New Roman"/>
          <w:b/>
          <w:sz w:val="24"/>
          <w:szCs w:val="24"/>
        </w:rPr>
        <w:t xml:space="preserve">I. </w:t>
      </w:r>
      <w:r w:rsidRPr="00F566AD">
        <w:rPr>
          <w:rFonts w:ascii="Times New Roman" w:hAnsi="Times New Roman" w:cs="Times New Roman"/>
          <w:b/>
          <w:bCs/>
          <w:spacing w:val="4"/>
          <w:sz w:val="24"/>
          <w:szCs w:val="24"/>
        </w:rPr>
        <w:t>Визначення проблеми</w:t>
      </w:r>
    </w:p>
    <w:p w:rsidR="00F566AD" w:rsidRPr="00F566AD" w:rsidRDefault="00F566AD" w:rsidP="00F566AD">
      <w:pPr>
        <w:spacing w:after="0"/>
        <w:ind w:firstLine="709"/>
        <w:jc w:val="both"/>
        <w:rPr>
          <w:rFonts w:ascii="Times New Roman" w:hAnsi="Times New Roman" w:cs="Times New Roman"/>
          <w:sz w:val="24"/>
          <w:szCs w:val="24"/>
        </w:rPr>
      </w:pPr>
      <w:r w:rsidRPr="00F566AD">
        <w:rPr>
          <w:rFonts w:ascii="Times New Roman" w:hAnsi="Times New Roman" w:cs="Times New Roman"/>
          <w:sz w:val="24"/>
          <w:szCs w:val="24"/>
        </w:rPr>
        <w:t>Податковий кодекс України регулює відносини, що виникають у процесі встановлення та скасування податків і зборів в Україні, визначає вичерпний перелік податків та зборів, що справляються в Україні, та порядок їх адміністрування, платників податків та зборів.</w:t>
      </w:r>
    </w:p>
    <w:p w:rsidR="00F566AD" w:rsidRPr="00F566AD" w:rsidRDefault="00F566AD" w:rsidP="00F566AD">
      <w:pPr>
        <w:spacing w:after="0"/>
        <w:ind w:firstLine="709"/>
        <w:jc w:val="both"/>
        <w:rPr>
          <w:rFonts w:ascii="Times New Roman" w:hAnsi="Times New Roman" w:cs="Times New Roman"/>
          <w:sz w:val="24"/>
          <w:szCs w:val="24"/>
        </w:rPr>
      </w:pPr>
      <w:r w:rsidRPr="00F566AD">
        <w:rPr>
          <w:rFonts w:ascii="Times New Roman" w:hAnsi="Times New Roman" w:cs="Times New Roman"/>
          <w:sz w:val="24"/>
          <w:szCs w:val="24"/>
        </w:rPr>
        <w:t>Згідно з нормами статті 10 Податкового кодексу України визначено перелік місцевих податків та зборів, до яких відноситься податок на нерухоме майно, відмінне від земельної ділянки.</w:t>
      </w:r>
    </w:p>
    <w:p w:rsidR="00F566AD" w:rsidRPr="00F566AD" w:rsidRDefault="00F566AD" w:rsidP="00F566AD">
      <w:pPr>
        <w:spacing w:after="0"/>
        <w:ind w:firstLine="709"/>
        <w:jc w:val="both"/>
        <w:rPr>
          <w:rFonts w:ascii="Times New Roman" w:hAnsi="Times New Roman" w:cs="Times New Roman"/>
          <w:sz w:val="24"/>
          <w:szCs w:val="24"/>
        </w:rPr>
      </w:pPr>
      <w:r w:rsidRPr="00F566AD">
        <w:rPr>
          <w:rFonts w:ascii="Times New Roman" w:hAnsi="Times New Roman" w:cs="Times New Roman"/>
          <w:sz w:val="24"/>
          <w:szCs w:val="24"/>
        </w:rPr>
        <w:t>Відповідно до п. 10.3 статті 10 Податкового кодексу України, місцеві ради обов’язково установлюють податок на нерухоме майно, відмінне від земельної ділянки.</w:t>
      </w:r>
    </w:p>
    <w:p w:rsidR="00F566AD" w:rsidRPr="00F566AD" w:rsidRDefault="00F566AD" w:rsidP="00F566AD">
      <w:pPr>
        <w:shd w:val="clear" w:color="auto" w:fill="FFFFFF"/>
        <w:spacing w:after="0" w:line="300" w:lineRule="atLeast"/>
        <w:ind w:firstLine="709"/>
        <w:jc w:val="both"/>
        <w:rPr>
          <w:rFonts w:ascii="Times New Roman" w:hAnsi="Times New Roman" w:cs="Times New Roman"/>
          <w:sz w:val="24"/>
          <w:szCs w:val="24"/>
        </w:rPr>
      </w:pPr>
      <w:r w:rsidRPr="00F566AD">
        <w:rPr>
          <w:rFonts w:ascii="Times New Roman" w:hAnsi="Times New Roman" w:cs="Times New Roman"/>
          <w:sz w:val="24"/>
          <w:szCs w:val="24"/>
        </w:rPr>
        <w:t xml:space="preserve">На виконання п. 12.3 статті 12 Податкового кодексу України та постанови Кабінету Міністрів України від 24.05.2017 № 483 «Про затвердження форм типових рішень про встановлення ставок та пільг із сплати земельного податку та податку на нерухоме майно, відмінне від земельної ділянки» виникла необхідність винести на розгляд </w:t>
      </w:r>
      <w:r>
        <w:rPr>
          <w:rFonts w:ascii="Times New Roman" w:hAnsi="Times New Roman" w:cs="Times New Roman"/>
          <w:sz w:val="24"/>
          <w:szCs w:val="24"/>
        </w:rPr>
        <w:t>Луцької</w:t>
      </w:r>
      <w:r w:rsidRPr="00F566AD">
        <w:rPr>
          <w:rFonts w:ascii="Times New Roman" w:hAnsi="Times New Roman" w:cs="Times New Roman"/>
          <w:sz w:val="24"/>
          <w:szCs w:val="24"/>
        </w:rPr>
        <w:t xml:space="preserve"> міської ради </w:t>
      </w:r>
      <w:proofErr w:type="spellStart"/>
      <w:r w:rsidRPr="00F566AD">
        <w:rPr>
          <w:rFonts w:ascii="Times New Roman" w:hAnsi="Times New Roman" w:cs="Times New Roman"/>
          <w:sz w:val="24"/>
          <w:szCs w:val="24"/>
        </w:rPr>
        <w:t>проєкт</w:t>
      </w:r>
      <w:proofErr w:type="spellEnd"/>
      <w:r w:rsidRPr="00F566AD">
        <w:rPr>
          <w:rFonts w:ascii="Times New Roman" w:hAnsi="Times New Roman" w:cs="Times New Roman"/>
          <w:sz w:val="24"/>
          <w:szCs w:val="24"/>
        </w:rPr>
        <w:t xml:space="preserve"> рішення «Про встановлення ставок із сплати податку на нерухоме майно, відмінне від земельної ділянки» для приведення у відповідність до вимог чинного законодавства. Прийняття цього регуляторного акта дасть можливість встановлення єдиного порядку здійснення контролю за додержанням правил розрахунку та сплати податку на нерухоме майно, відмінне від земельної ділянки.</w:t>
      </w:r>
    </w:p>
    <w:p w:rsidR="00F566AD" w:rsidRPr="00F566AD" w:rsidRDefault="00F566AD" w:rsidP="00F566AD">
      <w:pPr>
        <w:ind w:firstLine="708"/>
        <w:jc w:val="both"/>
        <w:rPr>
          <w:rFonts w:ascii="Times New Roman" w:hAnsi="Times New Roman" w:cs="Times New Roman"/>
          <w:b/>
          <w:sz w:val="24"/>
          <w:szCs w:val="24"/>
        </w:rPr>
      </w:pPr>
      <w:r w:rsidRPr="00F566AD">
        <w:rPr>
          <w:rFonts w:ascii="Times New Roman" w:hAnsi="Times New Roman" w:cs="Times New Roman"/>
          <w:b/>
          <w:sz w:val="24"/>
          <w:szCs w:val="24"/>
        </w:rPr>
        <w:t>Визначення основних груп (підгруп), на які проблема справляє вплив: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968"/>
        <w:gridCol w:w="2160"/>
        <w:gridCol w:w="2726"/>
      </w:tblGrid>
      <w:tr w:rsidR="00F566AD" w:rsidRPr="009A09F6" w:rsidTr="00DB2889">
        <w:tc>
          <w:tcPr>
            <w:tcW w:w="4968" w:type="dxa"/>
            <w:shd w:val="clear" w:color="auto" w:fill="auto"/>
          </w:tcPr>
          <w:p w:rsidR="00F566AD" w:rsidRPr="00F566AD" w:rsidRDefault="00F566AD" w:rsidP="00DB2889">
            <w:pPr>
              <w:jc w:val="center"/>
              <w:rPr>
                <w:rFonts w:ascii="Times New Roman" w:hAnsi="Times New Roman" w:cs="Times New Roman"/>
                <w:sz w:val="24"/>
                <w:szCs w:val="24"/>
              </w:rPr>
            </w:pPr>
            <w:r w:rsidRPr="00F566AD">
              <w:rPr>
                <w:rFonts w:ascii="Times New Roman" w:hAnsi="Times New Roman" w:cs="Times New Roman"/>
                <w:sz w:val="24"/>
                <w:szCs w:val="24"/>
              </w:rPr>
              <w:t>Групи (підгрупи)</w:t>
            </w:r>
          </w:p>
        </w:tc>
        <w:tc>
          <w:tcPr>
            <w:tcW w:w="2160" w:type="dxa"/>
            <w:shd w:val="clear" w:color="auto" w:fill="auto"/>
          </w:tcPr>
          <w:p w:rsidR="00F566AD" w:rsidRPr="00F566AD" w:rsidRDefault="00F566AD" w:rsidP="00DB2889">
            <w:pPr>
              <w:jc w:val="center"/>
              <w:rPr>
                <w:rFonts w:ascii="Times New Roman" w:hAnsi="Times New Roman" w:cs="Times New Roman"/>
                <w:sz w:val="24"/>
                <w:szCs w:val="24"/>
              </w:rPr>
            </w:pPr>
            <w:r w:rsidRPr="00F566AD">
              <w:rPr>
                <w:rFonts w:ascii="Times New Roman" w:hAnsi="Times New Roman" w:cs="Times New Roman"/>
                <w:sz w:val="24"/>
                <w:szCs w:val="24"/>
              </w:rPr>
              <w:t>Так</w:t>
            </w:r>
          </w:p>
        </w:tc>
        <w:tc>
          <w:tcPr>
            <w:tcW w:w="2726" w:type="dxa"/>
            <w:shd w:val="clear" w:color="auto" w:fill="auto"/>
          </w:tcPr>
          <w:p w:rsidR="00F566AD" w:rsidRPr="00F566AD" w:rsidRDefault="00F566AD" w:rsidP="00DB2889">
            <w:pPr>
              <w:jc w:val="center"/>
              <w:rPr>
                <w:rFonts w:ascii="Times New Roman" w:hAnsi="Times New Roman" w:cs="Times New Roman"/>
                <w:sz w:val="24"/>
                <w:szCs w:val="24"/>
              </w:rPr>
            </w:pPr>
            <w:r w:rsidRPr="00F566AD">
              <w:rPr>
                <w:rFonts w:ascii="Times New Roman" w:hAnsi="Times New Roman" w:cs="Times New Roman"/>
                <w:sz w:val="24"/>
                <w:szCs w:val="24"/>
              </w:rPr>
              <w:t>Ні</w:t>
            </w:r>
          </w:p>
        </w:tc>
      </w:tr>
      <w:tr w:rsidR="00F566AD" w:rsidRPr="009A09F6" w:rsidTr="00DB2889">
        <w:tc>
          <w:tcPr>
            <w:tcW w:w="4968" w:type="dxa"/>
            <w:shd w:val="clear" w:color="auto" w:fill="auto"/>
          </w:tcPr>
          <w:p w:rsidR="00F566AD" w:rsidRPr="00F566AD" w:rsidRDefault="00F566AD" w:rsidP="00DB2889">
            <w:pPr>
              <w:jc w:val="both"/>
              <w:rPr>
                <w:rFonts w:ascii="Times New Roman" w:hAnsi="Times New Roman" w:cs="Times New Roman"/>
                <w:sz w:val="24"/>
                <w:szCs w:val="24"/>
              </w:rPr>
            </w:pPr>
            <w:r w:rsidRPr="00F566AD">
              <w:rPr>
                <w:rFonts w:ascii="Times New Roman" w:hAnsi="Times New Roman" w:cs="Times New Roman"/>
                <w:sz w:val="24"/>
                <w:szCs w:val="24"/>
              </w:rPr>
              <w:t>Громадяни</w:t>
            </w:r>
          </w:p>
        </w:tc>
        <w:tc>
          <w:tcPr>
            <w:tcW w:w="2160" w:type="dxa"/>
            <w:shd w:val="clear" w:color="auto" w:fill="auto"/>
          </w:tcPr>
          <w:p w:rsidR="00F566AD" w:rsidRPr="00F566AD" w:rsidRDefault="00F566AD" w:rsidP="00DB2889">
            <w:pPr>
              <w:jc w:val="center"/>
              <w:rPr>
                <w:rFonts w:ascii="Times New Roman" w:hAnsi="Times New Roman" w:cs="Times New Roman"/>
                <w:sz w:val="24"/>
                <w:szCs w:val="24"/>
              </w:rPr>
            </w:pPr>
            <w:r w:rsidRPr="00F566AD">
              <w:rPr>
                <w:rFonts w:ascii="Times New Roman" w:hAnsi="Times New Roman" w:cs="Times New Roman"/>
                <w:sz w:val="24"/>
                <w:szCs w:val="24"/>
              </w:rPr>
              <w:t>+</w:t>
            </w:r>
          </w:p>
        </w:tc>
        <w:tc>
          <w:tcPr>
            <w:tcW w:w="2726" w:type="dxa"/>
            <w:shd w:val="clear" w:color="auto" w:fill="auto"/>
          </w:tcPr>
          <w:p w:rsidR="00F566AD" w:rsidRPr="00F566AD" w:rsidRDefault="00F566AD" w:rsidP="00DB2889">
            <w:pPr>
              <w:jc w:val="center"/>
              <w:rPr>
                <w:rFonts w:ascii="Times New Roman" w:hAnsi="Times New Roman" w:cs="Times New Roman"/>
                <w:sz w:val="24"/>
                <w:szCs w:val="24"/>
              </w:rPr>
            </w:pPr>
            <w:r w:rsidRPr="00F566AD">
              <w:rPr>
                <w:rFonts w:ascii="Times New Roman" w:hAnsi="Times New Roman" w:cs="Times New Roman"/>
                <w:sz w:val="24"/>
                <w:szCs w:val="24"/>
              </w:rPr>
              <w:t>-</w:t>
            </w:r>
          </w:p>
        </w:tc>
      </w:tr>
      <w:tr w:rsidR="00F566AD" w:rsidRPr="009A09F6" w:rsidTr="00DB2889">
        <w:tc>
          <w:tcPr>
            <w:tcW w:w="4968" w:type="dxa"/>
            <w:shd w:val="clear" w:color="auto" w:fill="auto"/>
          </w:tcPr>
          <w:p w:rsidR="00F566AD" w:rsidRPr="00F566AD" w:rsidRDefault="00F566AD" w:rsidP="00DB2889">
            <w:pPr>
              <w:jc w:val="both"/>
              <w:rPr>
                <w:rFonts w:ascii="Times New Roman" w:hAnsi="Times New Roman" w:cs="Times New Roman"/>
                <w:sz w:val="24"/>
                <w:szCs w:val="24"/>
              </w:rPr>
            </w:pPr>
            <w:r w:rsidRPr="00F566AD">
              <w:rPr>
                <w:rFonts w:ascii="Times New Roman" w:hAnsi="Times New Roman" w:cs="Times New Roman"/>
                <w:sz w:val="24"/>
                <w:szCs w:val="24"/>
              </w:rPr>
              <w:t>Держава</w:t>
            </w:r>
          </w:p>
        </w:tc>
        <w:tc>
          <w:tcPr>
            <w:tcW w:w="2160" w:type="dxa"/>
            <w:shd w:val="clear" w:color="auto" w:fill="auto"/>
          </w:tcPr>
          <w:p w:rsidR="00F566AD" w:rsidRPr="00F566AD" w:rsidRDefault="00F566AD" w:rsidP="00DB2889">
            <w:pPr>
              <w:jc w:val="center"/>
              <w:rPr>
                <w:rFonts w:ascii="Times New Roman" w:hAnsi="Times New Roman" w:cs="Times New Roman"/>
                <w:sz w:val="24"/>
                <w:szCs w:val="24"/>
              </w:rPr>
            </w:pPr>
            <w:r w:rsidRPr="00F566AD">
              <w:rPr>
                <w:rFonts w:ascii="Times New Roman" w:hAnsi="Times New Roman" w:cs="Times New Roman"/>
                <w:sz w:val="24"/>
                <w:szCs w:val="24"/>
              </w:rPr>
              <w:t>+</w:t>
            </w:r>
          </w:p>
        </w:tc>
        <w:tc>
          <w:tcPr>
            <w:tcW w:w="2726" w:type="dxa"/>
            <w:shd w:val="clear" w:color="auto" w:fill="auto"/>
          </w:tcPr>
          <w:p w:rsidR="00F566AD" w:rsidRPr="00F566AD" w:rsidRDefault="00F566AD" w:rsidP="00DB2889">
            <w:pPr>
              <w:jc w:val="center"/>
              <w:rPr>
                <w:rFonts w:ascii="Times New Roman" w:hAnsi="Times New Roman" w:cs="Times New Roman"/>
                <w:sz w:val="24"/>
                <w:szCs w:val="24"/>
              </w:rPr>
            </w:pPr>
            <w:r w:rsidRPr="00F566AD">
              <w:rPr>
                <w:rFonts w:ascii="Times New Roman" w:hAnsi="Times New Roman" w:cs="Times New Roman"/>
                <w:sz w:val="24"/>
                <w:szCs w:val="24"/>
              </w:rPr>
              <w:t>-</w:t>
            </w:r>
          </w:p>
        </w:tc>
      </w:tr>
      <w:tr w:rsidR="00F566AD" w:rsidRPr="009A09F6" w:rsidTr="00DB2889">
        <w:tc>
          <w:tcPr>
            <w:tcW w:w="4968" w:type="dxa"/>
            <w:shd w:val="clear" w:color="auto" w:fill="auto"/>
          </w:tcPr>
          <w:p w:rsidR="00F566AD" w:rsidRPr="00F566AD" w:rsidRDefault="00F566AD" w:rsidP="00DB2889">
            <w:pPr>
              <w:jc w:val="both"/>
              <w:rPr>
                <w:rFonts w:ascii="Times New Roman" w:hAnsi="Times New Roman" w:cs="Times New Roman"/>
                <w:sz w:val="24"/>
                <w:szCs w:val="24"/>
              </w:rPr>
            </w:pPr>
            <w:r w:rsidRPr="00F566AD">
              <w:rPr>
                <w:rFonts w:ascii="Times New Roman" w:hAnsi="Times New Roman" w:cs="Times New Roman"/>
                <w:sz w:val="24"/>
                <w:szCs w:val="24"/>
              </w:rPr>
              <w:t>Суб’єкти господарювання</w:t>
            </w:r>
          </w:p>
        </w:tc>
        <w:tc>
          <w:tcPr>
            <w:tcW w:w="2160" w:type="dxa"/>
            <w:shd w:val="clear" w:color="auto" w:fill="auto"/>
          </w:tcPr>
          <w:p w:rsidR="00F566AD" w:rsidRPr="00F566AD" w:rsidRDefault="00F566AD" w:rsidP="00DB2889">
            <w:pPr>
              <w:jc w:val="center"/>
              <w:rPr>
                <w:rFonts w:ascii="Times New Roman" w:hAnsi="Times New Roman" w:cs="Times New Roman"/>
                <w:sz w:val="24"/>
                <w:szCs w:val="24"/>
              </w:rPr>
            </w:pPr>
            <w:r w:rsidRPr="00F566AD">
              <w:rPr>
                <w:rFonts w:ascii="Times New Roman" w:hAnsi="Times New Roman" w:cs="Times New Roman"/>
                <w:sz w:val="24"/>
                <w:szCs w:val="24"/>
              </w:rPr>
              <w:t>+</w:t>
            </w:r>
          </w:p>
        </w:tc>
        <w:tc>
          <w:tcPr>
            <w:tcW w:w="2726" w:type="dxa"/>
            <w:shd w:val="clear" w:color="auto" w:fill="auto"/>
          </w:tcPr>
          <w:p w:rsidR="00F566AD" w:rsidRPr="00F566AD" w:rsidRDefault="00F566AD" w:rsidP="00DB2889">
            <w:pPr>
              <w:jc w:val="center"/>
              <w:rPr>
                <w:rFonts w:ascii="Times New Roman" w:hAnsi="Times New Roman" w:cs="Times New Roman"/>
                <w:sz w:val="24"/>
                <w:szCs w:val="24"/>
              </w:rPr>
            </w:pPr>
            <w:r w:rsidRPr="00F566AD">
              <w:rPr>
                <w:rFonts w:ascii="Times New Roman" w:hAnsi="Times New Roman" w:cs="Times New Roman"/>
                <w:sz w:val="24"/>
                <w:szCs w:val="24"/>
              </w:rPr>
              <w:t>-</w:t>
            </w:r>
          </w:p>
        </w:tc>
      </w:tr>
    </w:tbl>
    <w:p w:rsidR="00F566AD" w:rsidRPr="009A09F6" w:rsidRDefault="00F566AD" w:rsidP="00F566AD">
      <w:pPr>
        <w:ind w:firstLine="709"/>
        <w:jc w:val="both"/>
        <w:rPr>
          <w:b/>
          <w:sz w:val="28"/>
          <w:szCs w:val="28"/>
        </w:rPr>
      </w:pPr>
    </w:p>
    <w:p w:rsidR="00F566AD" w:rsidRDefault="00F566AD" w:rsidP="00F566AD">
      <w:pPr>
        <w:jc w:val="center"/>
        <w:rPr>
          <w:rFonts w:ascii="Times New Roman" w:hAnsi="Times New Roman" w:cs="Times New Roman"/>
          <w:b/>
        </w:rPr>
      </w:pPr>
      <w:r w:rsidRPr="00F566AD">
        <w:rPr>
          <w:rFonts w:ascii="Times New Roman" w:hAnsi="Times New Roman" w:cs="Times New Roman"/>
          <w:b/>
          <w:bCs/>
          <w:spacing w:val="4"/>
        </w:rPr>
        <w:t>II</w:t>
      </w:r>
      <w:r w:rsidRPr="00F566AD">
        <w:rPr>
          <w:rFonts w:ascii="Times New Roman" w:hAnsi="Times New Roman" w:cs="Times New Roman"/>
          <w:b/>
        </w:rPr>
        <w:t>. Цілі державного регулювання</w:t>
      </w:r>
    </w:p>
    <w:p w:rsidR="00DF0DBC" w:rsidRPr="00F566AD" w:rsidRDefault="00DF0DBC" w:rsidP="00F566AD">
      <w:pPr>
        <w:jc w:val="center"/>
        <w:rPr>
          <w:rFonts w:ascii="Times New Roman" w:hAnsi="Times New Roman" w:cs="Times New Roman"/>
          <w:b/>
        </w:rPr>
      </w:pPr>
    </w:p>
    <w:p w:rsidR="00F566AD" w:rsidRPr="008E2F86" w:rsidRDefault="00F566AD" w:rsidP="00F566AD">
      <w:pPr>
        <w:rPr>
          <w:rFonts w:ascii="Times New Roman" w:hAnsi="Times New Roman" w:cs="Times New Roman"/>
          <w:sz w:val="24"/>
          <w:szCs w:val="24"/>
        </w:rPr>
      </w:pPr>
      <w:r w:rsidRPr="008E2F86">
        <w:rPr>
          <w:rFonts w:ascii="Times New Roman" w:hAnsi="Times New Roman" w:cs="Times New Roman"/>
          <w:sz w:val="24"/>
          <w:szCs w:val="24"/>
        </w:rPr>
        <w:lastRenderedPageBreak/>
        <w:t>- забезпечення дотримання вимог Податкового кодексу України;</w:t>
      </w:r>
    </w:p>
    <w:p w:rsidR="00F566AD" w:rsidRPr="008E2F86" w:rsidRDefault="00F566AD" w:rsidP="00F566AD">
      <w:pPr>
        <w:spacing w:after="0"/>
        <w:rPr>
          <w:rFonts w:ascii="Times New Roman" w:hAnsi="Times New Roman" w:cs="Times New Roman"/>
          <w:sz w:val="24"/>
          <w:szCs w:val="24"/>
        </w:rPr>
      </w:pPr>
      <w:r w:rsidRPr="008E2F86">
        <w:rPr>
          <w:rFonts w:ascii="Times New Roman" w:hAnsi="Times New Roman" w:cs="Times New Roman"/>
          <w:sz w:val="24"/>
          <w:szCs w:val="24"/>
        </w:rPr>
        <w:t>- забезпечення відповідних надходжень до бюджету Луцької  міської територіальної громади;</w:t>
      </w:r>
    </w:p>
    <w:p w:rsidR="00F566AD" w:rsidRPr="008E2F86" w:rsidRDefault="00F566AD" w:rsidP="00F566AD">
      <w:pPr>
        <w:spacing w:after="0"/>
        <w:rPr>
          <w:rFonts w:ascii="Times New Roman" w:hAnsi="Times New Roman" w:cs="Times New Roman"/>
          <w:sz w:val="24"/>
          <w:szCs w:val="24"/>
        </w:rPr>
      </w:pPr>
      <w:r w:rsidRPr="008E2F86">
        <w:rPr>
          <w:rFonts w:ascii="Times New Roman" w:hAnsi="Times New Roman" w:cs="Times New Roman"/>
          <w:sz w:val="24"/>
          <w:szCs w:val="24"/>
        </w:rPr>
        <w:t>- відкритість процедури, прозорість дій органу місцевого самоврядування при вирішенні питань, пов'язаних зі справлянням податку на нерухоме майно, відмінне від земельної ділянки.</w:t>
      </w:r>
    </w:p>
    <w:p w:rsidR="00F566AD" w:rsidRPr="008E2F86" w:rsidRDefault="00F566AD" w:rsidP="00F566AD">
      <w:pPr>
        <w:rPr>
          <w:rFonts w:ascii="Times New Roman" w:hAnsi="Times New Roman" w:cs="Times New Roman"/>
          <w:sz w:val="24"/>
          <w:szCs w:val="24"/>
        </w:rPr>
      </w:pPr>
    </w:p>
    <w:p w:rsidR="004C2FD0" w:rsidRPr="00DF0DBC" w:rsidRDefault="004C2FD0" w:rsidP="004C2FD0">
      <w:pPr>
        <w:shd w:val="clear" w:color="auto" w:fill="FFFFFF"/>
        <w:spacing w:after="135" w:line="240" w:lineRule="auto"/>
        <w:rPr>
          <w:rFonts w:ascii="Times New Roman" w:eastAsia="Times New Roman" w:hAnsi="Times New Roman" w:cs="Times New Roman"/>
          <w:color w:val="333333"/>
          <w:sz w:val="24"/>
          <w:szCs w:val="24"/>
          <w:lang w:eastAsia="uk-UA"/>
        </w:rPr>
      </w:pPr>
      <w:r w:rsidRPr="00DF0DBC">
        <w:rPr>
          <w:rFonts w:ascii="Times New Roman" w:eastAsia="Times New Roman" w:hAnsi="Times New Roman" w:cs="Times New Roman"/>
          <w:b/>
          <w:bCs/>
          <w:color w:val="333333"/>
          <w:sz w:val="24"/>
          <w:szCs w:val="24"/>
          <w:lang w:eastAsia="uk-UA"/>
        </w:rPr>
        <w:t>ІІІ. Визначення та оцінка альтернативних способів досягнення цілей</w:t>
      </w:r>
    </w:p>
    <w:p w:rsidR="004C2FD0" w:rsidRPr="00DF0DBC" w:rsidRDefault="004C2FD0" w:rsidP="004C2FD0">
      <w:pPr>
        <w:shd w:val="clear" w:color="auto" w:fill="FFFFFF"/>
        <w:spacing w:after="135" w:line="240" w:lineRule="auto"/>
        <w:jc w:val="center"/>
        <w:rPr>
          <w:rFonts w:ascii="Times New Roman" w:eastAsia="Times New Roman" w:hAnsi="Times New Roman" w:cs="Times New Roman"/>
          <w:color w:val="333333"/>
          <w:sz w:val="24"/>
          <w:szCs w:val="24"/>
          <w:lang w:eastAsia="uk-UA"/>
        </w:rPr>
      </w:pPr>
      <w:r w:rsidRPr="00DF0DBC">
        <w:rPr>
          <w:rFonts w:ascii="Times New Roman" w:eastAsia="Times New Roman" w:hAnsi="Times New Roman" w:cs="Times New Roman"/>
          <w:b/>
          <w:bCs/>
          <w:color w:val="333333"/>
          <w:sz w:val="24"/>
          <w:szCs w:val="24"/>
          <w:lang w:eastAsia="uk-UA"/>
        </w:rPr>
        <w:t>1. Визначення альтернативних способів</w:t>
      </w:r>
    </w:p>
    <w:p w:rsidR="004C2FD0" w:rsidRPr="004C2FD0" w:rsidRDefault="004C2FD0" w:rsidP="004C2FD0">
      <w:pPr>
        <w:shd w:val="clear" w:color="auto" w:fill="FFFFFF"/>
        <w:spacing w:after="135" w:line="240" w:lineRule="auto"/>
        <w:jc w:val="center"/>
        <w:rPr>
          <w:rFonts w:ascii="Helvetica" w:eastAsia="Times New Roman" w:hAnsi="Helvetica" w:cs="Helvetica"/>
          <w:color w:val="333333"/>
          <w:sz w:val="20"/>
          <w:szCs w:val="20"/>
          <w:lang w:eastAsia="uk-UA"/>
        </w:rPr>
      </w:pPr>
      <w:r w:rsidRPr="004C2FD0">
        <w:rPr>
          <w:rFonts w:ascii="Helvetica" w:eastAsia="Times New Roman" w:hAnsi="Helvetica" w:cs="Helvetica"/>
          <w:color w:val="333333"/>
          <w:sz w:val="20"/>
          <w:szCs w:val="20"/>
          <w:lang w:eastAsia="uk-UA"/>
        </w:rPr>
        <w:t> </w:t>
      </w:r>
    </w:p>
    <w:tbl>
      <w:tblPr>
        <w:tblW w:w="49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356"/>
        <w:gridCol w:w="5106"/>
      </w:tblGrid>
      <w:tr w:rsidR="004C2FD0" w:rsidRPr="004C2FD0" w:rsidTr="004C2FD0">
        <w:tc>
          <w:tcPr>
            <w:tcW w:w="8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31C35"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831C35">
              <w:rPr>
                <w:rFonts w:ascii="Times New Roman" w:eastAsia="Times New Roman" w:hAnsi="Times New Roman" w:cs="Times New Roman"/>
                <w:b/>
                <w:bCs/>
                <w:i/>
                <w:iCs/>
                <w:color w:val="333333"/>
                <w:sz w:val="24"/>
                <w:szCs w:val="24"/>
                <w:lang w:eastAsia="uk-UA"/>
              </w:rPr>
              <w:t>Вид альтернативи</w:t>
            </w:r>
          </w:p>
        </w:tc>
        <w:tc>
          <w:tcPr>
            <w:tcW w:w="10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31C35"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831C35">
              <w:rPr>
                <w:rFonts w:ascii="Times New Roman" w:eastAsia="Times New Roman" w:hAnsi="Times New Roman" w:cs="Times New Roman"/>
                <w:b/>
                <w:bCs/>
                <w:i/>
                <w:iCs/>
                <w:color w:val="333333"/>
                <w:sz w:val="24"/>
                <w:szCs w:val="24"/>
                <w:lang w:eastAsia="uk-UA"/>
              </w:rPr>
              <w:t>Опис альтернативи</w:t>
            </w:r>
          </w:p>
        </w:tc>
      </w:tr>
      <w:tr w:rsidR="004C2FD0" w:rsidRPr="004C2FD0" w:rsidTr="004C2FD0">
        <w:tc>
          <w:tcPr>
            <w:tcW w:w="8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4C2FD0" w:rsidRDefault="004C2FD0" w:rsidP="004C2FD0">
            <w:pPr>
              <w:spacing w:after="135" w:line="240" w:lineRule="auto"/>
              <w:jc w:val="center"/>
              <w:rPr>
                <w:rFonts w:ascii="Helvetica" w:eastAsia="Times New Roman" w:hAnsi="Helvetica" w:cs="Helvetica"/>
                <w:color w:val="333333"/>
                <w:sz w:val="20"/>
                <w:szCs w:val="20"/>
                <w:lang w:eastAsia="uk-UA"/>
              </w:rPr>
            </w:pPr>
            <w:r w:rsidRPr="004C2FD0">
              <w:rPr>
                <w:rFonts w:ascii="Helvetica" w:eastAsia="Times New Roman" w:hAnsi="Helvetica" w:cs="Helvetica"/>
                <w:b/>
                <w:bCs/>
                <w:i/>
                <w:iCs/>
                <w:color w:val="333333"/>
                <w:sz w:val="20"/>
                <w:szCs w:val="20"/>
                <w:lang w:eastAsia="uk-UA"/>
              </w:rPr>
              <w:t>1</w:t>
            </w:r>
          </w:p>
        </w:tc>
        <w:tc>
          <w:tcPr>
            <w:tcW w:w="10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4C2FD0" w:rsidRDefault="004C2FD0" w:rsidP="004C2FD0">
            <w:pPr>
              <w:spacing w:after="135" w:line="240" w:lineRule="auto"/>
              <w:jc w:val="center"/>
              <w:rPr>
                <w:rFonts w:ascii="Helvetica" w:eastAsia="Times New Roman" w:hAnsi="Helvetica" w:cs="Helvetica"/>
                <w:color w:val="333333"/>
                <w:sz w:val="20"/>
                <w:szCs w:val="20"/>
                <w:lang w:eastAsia="uk-UA"/>
              </w:rPr>
            </w:pPr>
            <w:r w:rsidRPr="004C2FD0">
              <w:rPr>
                <w:rFonts w:ascii="Helvetica" w:eastAsia="Times New Roman" w:hAnsi="Helvetica" w:cs="Helvetica"/>
                <w:b/>
                <w:bCs/>
                <w:i/>
                <w:iCs/>
                <w:color w:val="333333"/>
                <w:sz w:val="20"/>
                <w:szCs w:val="20"/>
                <w:lang w:eastAsia="uk-UA"/>
              </w:rPr>
              <w:t>2</w:t>
            </w:r>
          </w:p>
        </w:tc>
      </w:tr>
      <w:tr w:rsidR="004C2FD0" w:rsidRPr="004C2FD0" w:rsidTr="00DF0DBC">
        <w:trPr>
          <w:trHeight w:val="5008"/>
        </w:trPr>
        <w:tc>
          <w:tcPr>
            <w:tcW w:w="8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E2F86" w:rsidRDefault="004C2FD0" w:rsidP="004C2FD0">
            <w:pPr>
              <w:spacing w:after="135" w:line="240" w:lineRule="auto"/>
              <w:rPr>
                <w:rFonts w:ascii="Times New Roman" w:eastAsia="Times New Roman" w:hAnsi="Times New Roman" w:cs="Times New Roman"/>
                <w:color w:val="333333"/>
                <w:sz w:val="24"/>
                <w:szCs w:val="24"/>
                <w:lang w:eastAsia="uk-UA"/>
              </w:rPr>
            </w:pPr>
            <w:r w:rsidRPr="008E2F86">
              <w:rPr>
                <w:rFonts w:ascii="Times New Roman" w:eastAsia="Times New Roman" w:hAnsi="Times New Roman" w:cs="Times New Roman"/>
                <w:color w:val="333333"/>
                <w:sz w:val="24"/>
                <w:szCs w:val="24"/>
                <w:lang w:eastAsia="uk-UA"/>
              </w:rPr>
              <w:t>Альтернатива 1</w:t>
            </w:r>
          </w:p>
          <w:p w:rsidR="004C2FD0" w:rsidRPr="008E2F86" w:rsidRDefault="004C2FD0" w:rsidP="00DF0DBC">
            <w:pPr>
              <w:spacing w:after="135" w:line="240" w:lineRule="auto"/>
              <w:rPr>
                <w:rFonts w:ascii="Times New Roman" w:eastAsia="Times New Roman" w:hAnsi="Times New Roman" w:cs="Times New Roman"/>
                <w:color w:val="333333"/>
                <w:sz w:val="24"/>
                <w:szCs w:val="24"/>
                <w:lang w:eastAsia="uk-UA"/>
              </w:rPr>
            </w:pPr>
            <w:r w:rsidRPr="008E2F86">
              <w:rPr>
                <w:rFonts w:ascii="Times New Roman" w:eastAsia="Times New Roman" w:hAnsi="Times New Roman" w:cs="Times New Roman"/>
                <w:color w:val="333333"/>
                <w:sz w:val="24"/>
                <w:szCs w:val="24"/>
                <w:lang w:eastAsia="uk-UA"/>
              </w:rPr>
              <w:t xml:space="preserve">Установлення мінімальної ставки  податку на нерухоме майно, відмінне </w:t>
            </w:r>
            <w:proofErr w:type="spellStart"/>
            <w:r w:rsidRPr="008E2F86">
              <w:rPr>
                <w:rFonts w:ascii="Times New Roman" w:eastAsia="Times New Roman" w:hAnsi="Times New Roman" w:cs="Times New Roman"/>
                <w:color w:val="333333"/>
                <w:sz w:val="24"/>
                <w:szCs w:val="24"/>
                <w:lang w:eastAsia="uk-UA"/>
              </w:rPr>
              <w:t>відземельної</w:t>
            </w:r>
            <w:proofErr w:type="spellEnd"/>
            <w:r w:rsidRPr="008E2F86">
              <w:rPr>
                <w:rFonts w:ascii="Times New Roman" w:eastAsia="Times New Roman" w:hAnsi="Times New Roman" w:cs="Times New Roman"/>
                <w:color w:val="333333"/>
                <w:sz w:val="24"/>
                <w:szCs w:val="24"/>
                <w:lang w:eastAsia="uk-UA"/>
              </w:rPr>
              <w:t xml:space="preserve"> ділянки, від розміру мінімальної заробітної плати, </w:t>
            </w:r>
            <w:r w:rsidR="00DF0DBC" w:rsidRPr="008E2F86">
              <w:rPr>
                <w:rFonts w:ascii="Times New Roman" w:eastAsia="Times New Roman" w:hAnsi="Times New Roman" w:cs="Times New Roman"/>
                <w:color w:val="333333"/>
                <w:sz w:val="24"/>
                <w:szCs w:val="24"/>
                <w:lang w:eastAsia="uk-UA"/>
              </w:rPr>
              <w:t>в</w:t>
            </w:r>
            <w:r w:rsidRPr="008E2F86">
              <w:rPr>
                <w:rFonts w:ascii="Times New Roman" w:eastAsia="Times New Roman" w:hAnsi="Times New Roman" w:cs="Times New Roman"/>
                <w:color w:val="333333"/>
                <w:sz w:val="24"/>
                <w:szCs w:val="24"/>
                <w:lang w:eastAsia="uk-UA"/>
              </w:rPr>
              <w:t>становленої законом на 01 січня звітного (податкового) року, за 1 кв. м бази оподаткування (мінімальний розмір на законодавчому рівні не встановлено, тобто припускається, що його розмір  дорівнює 0)</w:t>
            </w:r>
          </w:p>
        </w:tc>
        <w:tc>
          <w:tcPr>
            <w:tcW w:w="10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B2889" w:rsidRPr="008E2F86" w:rsidRDefault="004C2FD0" w:rsidP="00DB2889">
            <w:pPr>
              <w:spacing w:after="0" w:line="240" w:lineRule="auto"/>
              <w:rPr>
                <w:rFonts w:ascii="Times New Roman" w:eastAsia="Times New Roman" w:hAnsi="Times New Roman" w:cs="Times New Roman"/>
                <w:color w:val="333333"/>
                <w:sz w:val="24"/>
                <w:szCs w:val="24"/>
                <w:lang w:eastAsia="uk-UA"/>
              </w:rPr>
            </w:pPr>
            <w:bookmarkStart w:id="0" w:name="_GoBack"/>
            <w:bookmarkEnd w:id="0"/>
            <w:r w:rsidRPr="008E2F86">
              <w:rPr>
                <w:rFonts w:ascii="Times New Roman" w:eastAsia="Times New Roman" w:hAnsi="Times New Roman" w:cs="Times New Roman"/>
                <w:color w:val="333333"/>
                <w:sz w:val="24"/>
                <w:szCs w:val="24"/>
                <w:lang w:eastAsia="uk-UA"/>
              </w:rPr>
              <w:t>Альтернатива неприйнятна. Наслідком є недоотрим</w:t>
            </w:r>
            <w:r w:rsidR="008E2F86" w:rsidRPr="008E2F86">
              <w:rPr>
                <w:rFonts w:ascii="Times New Roman" w:eastAsia="Times New Roman" w:hAnsi="Times New Roman" w:cs="Times New Roman"/>
                <w:color w:val="333333"/>
                <w:sz w:val="24"/>
                <w:szCs w:val="24"/>
                <w:lang w:eastAsia="uk-UA"/>
              </w:rPr>
              <w:t>ання надходжень до бюджету громади</w:t>
            </w:r>
            <w:r w:rsidRPr="008E2F86">
              <w:rPr>
                <w:rFonts w:ascii="Times New Roman" w:eastAsia="Times New Roman" w:hAnsi="Times New Roman" w:cs="Times New Roman"/>
                <w:color w:val="333333"/>
                <w:sz w:val="24"/>
                <w:szCs w:val="24"/>
                <w:lang w:eastAsia="uk-UA"/>
              </w:rPr>
              <w:t xml:space="preserve"> коштів на прогнозованому рівні </w:t>
            </w:r>
            <w:r w:rsidR="004B653A" w:rsidRPr="008E2F86">
              <w:rPr>
                <w:rFonts w:ascii="Times New Roman" w:eastAsia="Times New Roman" w:hAnsi="Times New Roman" w:cs="Times New Roman"/>
                <w:color w:val="333333"/>
                <w:sz w:val="24"/>
                <w:szCs w:val="24"/>
                <w:lang w:eastAsia="uk-UA"/>
              </w:rPr>
              <w:t>45,7млн</w:t>
            </w:r>
            <w:r w:rsidR="008E2F86" w:rsidRPr="008E2F86">
              <w:rPr>
                <w:rFonts w:ascii="Times New Roman" w:eastAsia="Times New Roman" w:hAnsi="Times New Roman" w:cs="Times New Roman"/>
                <w:color w:val="333333"/>
                <w:sz w:val="24"/>
                <w:szCs w:val="24"/>
                <w:lang w:eastAsia="uk-UA"/>
              </w:rPr>
              <w:t>.грн</w:t>
            </w:r>
            <w:r w:rsidRPr="008E2F86">
              <w:rPr>
                <w:rFonts w:ascii="Times New Roman" w:eastAsia="Times New Roman" w:hAnsi="Times New Roman" w:cs="Times New Roman"/>
                <w:color w:val="333333"/>
                <w:sz w:val="24"/>
                <w:szCs w:val="24"/>
                <w:lang w:eastAsia="uk-UA"/>
              </w:rPr>
              <w:t xml:space="preserve">, що обмежить фінансування першочергових  видатків, які мають тенденцію до збільшення. Це пов’язано із зростанням заробітної плати працівників бюджетної сфери, підвищенням тарифів на енергоносії тощо. </w:t>
            </w:r>
            <w:r w:rsidR="004B653A" w:rsidRPr="008E2F86">
              <w:rPr>
                <w:rFonts w:ascii="Times New Roman" w:eastAsia="Times New Roman" w:hAnsi="Times New Roman" w:cs="Times New Roman"/>
                <w:color w:val="333333"/>
                <w:sz w:val="24"/>
                <w:szCs w:val="24"/>
                <w:lang w:eastAsia="uk-UA"/>
              </w:rPr>
              <w:t>Р</w:t>
            </w:r>
            <w:r w:rsidRPr="008E2F86">
              <w:rPr>
                <w:rFonts w:ascii="Times New Roman" w:eastAsia="Times New Roman" w:hAnsi="Times New Roman" w:cs="Times New Roman"/>
                <w:color w:val="333333"/>
                <w:sz w:val="24"/>
                <w:szCs w:val="24"/>
                <w:lang w:eastAsia="uk-UA"/>
              </w:rPr>
              <w:t xml:space="preserve">ішення про встановлення податку на нерухоме майно, відмінне від земельної ділянки, для об’єктів житлової і нежитлової нерухомості, </w:t>
            </w:r>
            <w:r w:rsidR="004B653A" w:rsidRPr="008E2F86">
              <w:rPr>
                <w:rFonts w:ascii="Times New Roman" w:eastAsia="Times New Roman" w:hAnsi="Times New Roman" w:cs="Times New Roman"/>
                <w:color w:val="333333"/>
                <w:sz w:val="24"/>
                <w:szCs w:val="24"/>
                <w:lang w:eastAsia="uk-UA"/>
              </w:rPr>
              <w:t>діють з 01.01.2020 по 31.12.2020.</w:t>
            </w:r>
            <w:r w:rsidRPr="008E2F86">
              <w:rPr>
                <w:rFonts w:ascii="Times New Roman" w:eastAsia="Times New Roman" w:hAnsi="Times New Roman" w:cs="Times New Roman"/>
                <w:color w:val="333333"/>
                <w:sz w:val="24"/>
                <w:szCs w:val="24"/>
                <w:lang w:eastAsia="uk-UA"/>
              </w:rPr>
              <w:t xml:space="preserve">  Їх дія буде розповсюджуватися на фізичних осіб – платників податку. Суб’єкти господарювання залишаться  без нормативного акту.</w:t>
            </w:r>
          </w:p>
          <w:p w:rsidR="004C2FD0" w:rsidRPr="008E2F86" w:rsidRDefault="004C2FD0" w:rsidP="00DB2889">
            <w:pPr>
              <w:spacing w:after="0" w:line="240" w:lineRule="auto"/>
              <w:rPr>
                <w:rFonts w:ascii="Times New Roman" w:eastAsia="Times New Roman" w:hAnsi="Times New Roman" w:cs="Times New Roman"/>
                <w:color w:val="333333"/>
                <w:sz w:val="24"/>
                <w:szCs w:val="24"/>
                <w:lang w:eastAsia="uk-UA"/>
              </w:rPr>
            </w:pPr>
            <w:r w:rsidRPr="008E2F86">
              <w:rPr>
                <w:rFonts w:ascii="Times New Roman" w:eastAsia="Times New Roman" w:hAnsi="Times New Roman" w:cs="Times New Roman"/>
                <w:color w:val="333333"/>
                <w:sz w:val="24"/>
                <w:szCs w:val="24"/>
                <w:lang w:eastAsia="uk-UA"/>
              </w:rPr>
              <w:t xml:space="preserve">Відповідно до підпункту 12.3.5 пункту 12.3 статті 12 Податкового кодексу України  податок буде справлятися виходячи з норм Кодексу із застосуванням мінімальних ставок  податку для суб’єктів господарювання у 2020 році, а фізичних осіб – платників податку у 2021 році, що суттєво </w:t>
            </w:r>
            <w:r w:rsidR="004B653A" w:rsidRPr="008E2F86">
              <w:rPr>
                <w:rFonts w:ascii="Times New Roman" w:eastAsia="Times New Roman" w:hAnsi="Times New Roman" w:cs="Times New Roman"/>
                <w:color w:val="333333"/>
                <w:sz w:val="24"/>
                <w:szCs w:val="24"/>
                <w:lang w:eastAsia="uk-UA"/>
              </w:rPr>
              <w:t>зменшить</w:t>
            </w:r>
            <w:r w:rsidRPr="008E2F86">
              <w:rPr>
                <w:rFonts w:ascii="Times New Roman" w:eastAsia="Times New Roman" w:hAnsi="Times New Roman" w:cs="Times New Roman"/>
                <w:color w:val="333333"/>
                <w:sz w:val="24"/>
                <w:szCs w:val="24"/>
                <w:lang w:eastAsia="uk-UA"/>
              </w:rPr>
              <w:t xml:space="preserve"> надходження до бюджету</w:t>
            </w:r>
            <w:r w:rsidR="004B653A" w:rsidRPr="008E2F86">
              <w:rPr>
                <w:rFonts w:ascii="Times New Roman" w:eastAsia="Times New Roman" w:hAnsi="Times New Roman" w:cs="Times New Roman"/>
                <w:color w:val="333333"/>
                <w:sz w:val="24"/>
                <w:szCs w:val="24"/>
                <w:lang w:eastAsia="uk-UA"/>
              </w:rPr>
              <w:t xml:space="preserve"> громади.</w:t>
            </w:r>
            <w:r w:rsidRPr="008E2F86">
              <w:rPr>
                <w:rFonts w:ascii="Times New Roman" w:eastAsia="Times New Roman" w:hAnsi="Times New Roman" w:cs="Times New Roman"/>
                <w:color w:val="333333"/>
                <w:sz w:val="24"/>
                <w:szCs w:val="24"/>
                <w:lang w:eastAsia="uk-UA"/>
              </w:rPr>
              <w:t xml:space="preserve"> </w:t>
            </w:r>
          </w:p>
        </w:tc>
      </w:tr>
      <w:tr w:rsidR="004C2FD0" w:rsidRPr="004C2FD0" w:rsidTr="004C2FD0">
        <w:trPr>
          <w:trHeight w:val="90"/>
        </w:trPr>
        <w:tc>
          <w:tcPr>
            <w:tcW w:w="8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4B653A" w:rsidRDefault="004C2FD0" w:rsidP="004C2FD0">
            <w:pPr>
              <w:spacing w:after="135" w:line="240" w:lineRule="auto"/>
              <w:rPr>
                <w:rFonts w:ascii="Times New Roman" w:eastAsia="Times New Roman" w:hAnsi="Times New Roman" w:cs="Times New Roman"/>
                <w:color w:val="333333"/>
                <w:sz w:val="24"/>
                <w:szCs w:val="24"/>
                <w:lang w:eastAsia="uk-UA"/>
              </w:rPr>
            </w:pPr>
            <w:r w:rsidRPr="004B653A">
              <w:rPr>
                <w:rFonts w:ascii="Times New Roman" w:eastAsia="Times New Roman" w:hAnsi="Times New Roman" w:cs="Times New Roman"/>
                <w:color w:val="333333"/>
                <w:sz w:val="24"/>
                <w:szCs w:val="24"/>
                <w:lang w:eastAsia="uk-UA"/>
              </w:rPr>
              <w:t>Альтернатива 2</w:t>
            </w:r>
          </w:p>
          <w:p w:rsidR="004C2FD0" w:rsidRPr="004B653A" w:rsidRDefault="004C2FD0" w:rsidP="004B653A">
            <w:pPr>
              <w:spacing w:after="135" w:line="90" w:lineRule="atLeast"/>
              <w:rPr>
                <w:rFonts w:ascii="Times New Roman" w:eastAsia="Times New Roman" w:hAnsi="Times New Roman" w:cs="Times New Roman"/>
                <w:color w:val="333333"/>
                <w:sz w:val="24"/>
                <w:szCs w:val="24"/>
                <w:lang w:eastAsia="uk-UA"/>
              </w:rPr>
            </w:pPr>
            <w:r w:rsidRPr="004B653A">
              <w:rPr>
                <w:rFonts w:ascii="Times New Roman" w:eastAsia="Times New Roman" w:hAnsi="Times New Roman" w:cs="Times New Roman"/>
                <w:color w:val="333333"/>
                <w:sz w:val="24"/>
                <w:szCs w:val="24"/>
                <w:lang w:eastAsia="uk-UA"/>
              </w:rPr>
              <w:t xml:space="preserve">Установлення максимальної ставки податку на нерухоме майно, відмінне від земельної ділянки, 1,5% розміру мінімальної заробітної плати, </w:t>
            </w:r>
            <w:r w:rsidR="004B653A">
              <w:rPr>
                <w:rFonts w:ascii="Times New Roman" w:eastAsia="Times New Roman" w:hAnsi="Times New Roman" w:cs="Times New Roman"/>
                <w:color w:val="333333"/>
                <w:sz w:val="24"/>
                <w:szCs w:val="24"/>
                <w:lang w:eastAsia="uk-UA"/>
              </w:rPr>
              <w:t>в</w:t>
            </w:r>
            <w:r w:rsidRPr="004B653A">
              <w:rPr>
                <w:rFonts w:ascii="Times New Roman" w:eastAsia="Times New Roman" w:hAnsi="Times New Roman" w:cs="Times New Roman"/>
                <w:color w:val="333333"/>
                <w:sz w:val="24"/>
                <w:szCs w:val="24"/>
                <w:lang w:eastAsia="uk-UA"/>
              </w:rPr>
              <w:t>становленої законом на 01 січня звітного (податкового) року, за 1 кв. м бази оподаткування</w:t>
            </w:r>
          </w:p>
        </w:tc>
        <w:tc>
          <w:tcPr>
            <w:tcW w:w="10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4B653A" w:rsidRDefault="004C2FD0" w:rsidP="00DB2889">
            <w:pPr>
              <w:spacing w:after="0" w:line="240" w:lineRule="auto"/>
              <w:rPr>
                <w:rFonts w:ascii="Times New Roman" w:eastAsia="Times New Roman" w:hAnsi="Times New Roman" w:cs="Times New Roman"/>
                <w:color w:val="333333"/>
                <w:sz w:val="24"/>
                <w:szCs w:val="24"/>
                <w:lang w:eastAsia="uk-UA"/>
              </w:rPr>
            </w:pPr>
            <w:r w:rsidRPr="004B653A">
              <w:rPr>
                <w:rFonts w:ascii="Times New Roman" w:eastAsia="Times New Roman" w:hAnsi="Times New Roman" w:cs="Times New Roman"/>
                <w:color w:val="333333"/>
                <w:sz w:val="24"/>
                <w:szCs w:val="24"/>
                <w:lang w:eastAsia="uk-UA"/>
              </w:rPr>
              <w:t>Альтернатива може бути прийнятною.</w:t>
            </w:r>
          </w:p>
          <w:p w:rsidR="004C2FD0" w:rsidRPr="004B653A" w:rsidRDefault="004C2FD0" w:rsidP="00DB2889">
            <w:pPr>
              <w:spacing w:after="0" w:line="240" w:lineRule="auto"/>
              <w:rPr>
                <w:rFonts w:ascii="Times New Roman" w:eastAsia="Times New Roman" w:hAnsi="Times New Roman" w:cs="Times New Roman"/>
                <w:color w:val="333333"/>
                <w:sz w:val="24"/>
                <w:szCs w:val="24"/>
                <w:lang w:eastAsia="uk-UA"/>
              </w:rPr>
            </w:pPr>
            <w:r w:rsidRPr="004B653A">
              <w:rPr>
                <w:rFonts w:ascii="Times New Roman" w:eastAsia="Times New Roman" w:hAnsi="Times New Roman" w:cs="Times New Roman"/>
                <w:color w:val="333333"/>
                <w:sz w:val="24"/>
                <w:szCs w:val="24"/>
                <w:lang w:eastAsia="uk-UA"/>
              </w:rPr>
              <w:t>Установлення максимальної ставки податку для об’єктів житлової та/або нежитлової нерухомості, що перебувають у власності фізичних та/або юридичних осіб, забезпечить надходження до бюджету, упорядкує відносини між органами місцевого самоврядування та громадянами, суб’єктами господарювання. Але, при цьому збільшується податкове навантаження на платників податку. </w:t>
            </w:r>
          </w:p>
        </w:tc>
      </w:tr>
      <w:tr w:rsidR="004C2FD0" w:rsidRPr="004C2FD0" w:rsidTr="004C2FD0">
        <w:trPr>
          <w:trHeight w:val="135"/>
        </w:trPr>
        <w:tc>
          <w:tcPr>
            <w:tcW w:w="8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4B653A" w:rsidRDefault="004C2FD0" w:rsidP="004C2FD0">
            <w:pPr>
              <w:spacing w:after="135" w:line="240" w:lineRule="auto"/>
              <w:rPr>
                <w:rFonts w:ascii="Times New Roman" w:eastAsia="Times New Roman" w:hAnsi="Times New Roman" w:cs="Times New Roman"/>
                <w:color w:val="333333"/>
                <w:sz w:val="24"/>
                <w:szCs w:val="24"/>
                <w:lang w:eastAsia="uk-UA"/>
              </w:rPr>
            </w:pPr>
            <w:r w:rsidRPr="004B653A">
              <w:rPr>
                <w:rFonts w:ascii="Times New Roman" w:eastAsia="Times New Roman" w:hAnsi="Times New Roman" w:cs="Times New Roman"/>
                <w:color w:val="333333"/>
                <w:sz w:val="24"/>
                <w:szCs w:val="24"/>
                <w:lang w:eastAsia="uk-UA"/>
              </w:rPr>
              <w:t>Альтернатива 3</w:t>
            </w:r>
          </w:p>
          <w:p w:rsidR="004C2FD0" w:rsidRPr="004B653A" w:rsidRDefault="004C2FD0" w:rsidP="004B653A">
            <w:pPr>
              <w:spacing w:after="135" w:line="135" w:lineRule="atLeast"/>
              <w:rPr>
                <w:rFonts w:ascii="Times New Roman" w:eastAsia="Times New Roman" w:hAnsi="Times New Roman" w:cs="Times New Roman"/>
                <w:color w:val="333333"/>
                <w:sz w:val="24"/>
                <w:szCs w:val="24"/>
                <w:lang w:eastAsia="uk-UA"/>
              </w:rPr>
            </w:pPr>
            <w:r w:rsidRPr="004B653A">
              <w:rPr>
                <w:rFonts w:ascii="Times New Roman" w:eastAsia="Times New Roman" w:hAnsi="Times New Roman" w:cs="Times New Roman"/>
                <w:color w:val="333333"/>
                <w:sz w:val="24"/>
                <w:szCs w:val="24"/>
                <w:lang w:eastAsia="uk-UA"/>
              </w:rPr>
              <w:t xml:space="preserve">Установлення диференційованого розміру ставок податку залежно від типів </w:t>
            </w:r>
            <w:r w:rsidRPr="004B653A">
              <w:rPr>
                <w:rFonts w:ascii="Times New Roman" w:eastAsia="Times New Roman" w:hAnsi="Times New Roman" w:cs="Times New Roman"/>
                <w:color w:val="333333"/>
                <w:sz w:val="24"/>
                <w:szCs w:val="24"/>
                <w:lang w:eastAsia="uk-UA"/>
              </w:rPr>
              <w:lastRenderedPageBreak/>
              <w:t xml:space="preserve">об’єктів нерухомості </w:t>
            </w:r>
          </w:p>
        </w:tc>
        <w:tc>
          <w:tcPr>
            <w:tcW w:w="10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4B653A" w:rsidRDefault="004C2FD0" w:rsidP="004B653A">
            <w:pPr>
              <w:spacing w:after="135" w:line="240" w:lineRule="auto"/>
              <w:rPr>
                <w:rFonts w:ascii="Times New Roman" w:eastAsia="Times New Roman" w:hAnsi="Times New Roman" w:cs="Times New Roman"/>
                <w:color w:val="333333"/>
                <w:sz w:val="24"/>
                <w:szCs w:val="24"/>
                <w:lang w:eastAsia="uk-UA"/>
              </w:rPr>
            </w:pPr>
            <w:r w:rsidRPr="004B653A">
              <w:rPr>
                <w:rFonts w:ascii="Times New Roman" w:eastAsia="Times New Roman" w:hAnsi="Times New Roman" w:cs="Times New Roman"/>
                <w:color w:val="333333"/>
                <w:sz w:val="24"/>
                <w:szCs w:val="24"/>
                <w:lang w:eastAsia="uk-UA"/>
              </w:rPr>
              <w:lastRenderedPageBreak/>
              <w:t xml:space="preserve">Альтернатива може бути прийнятною. Ставки податку для об'єктів житлової та/або нежитлової нерухомості, що перебувають у власності фізичних і юридичних осіб, установлюються з </w:t>
            </w:r>
            <w:r w:rsidRPr="004B653A">
              <w:rPr>
                <w:rFonts w:ascii="Times New Roman" w:eastAsia="Times New Roman" w:hAnsi="Times New Roman" w:cs="Times New Roman"/>
                <w:color w:val="333333"/>
                <w:sz w:val="24"/>
                <w:szCs w:val="24"/>
                <w:lang w:eastAsia="uk-UA"/>
              </w:rPr>
              <w:lastRenderedPageBreak/>
              <w:t>повним дотриманням  вимог Кодексу)</w:t>
            </w:r>
            <w:r w:rsidR="004B653A">
              <w:rPr>
                <w:rFonts w:ascii="Times New Roman" w:eastAsia="Times New Roman" w:hAnsi="Times New Roman" w:cs="Times New Roman"/>
                <w:color w:val="333333"/>
                <w:sz w:val="24"/>
                <w:szCs w:val="24"/>
                <w:lang w:eastAsia="uk-UA"/>
              </w:rPr>
              <w:t>.</w:t>
            </w:r>
          </w:p>
        </w:tc>
      </w:tr>
      <w:tr w:rsidR="004C2FD0" w:rsidRPr="004C2FD0" w:rsidTr="004C2FD0">
        <w:trPr>
          <w:trHeight w:val="135"/>
        </w:trPr>
        <w:tc>
          <w:tcPr>
            <w:tcW w:w="8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4B653A" w:rsidRDefault="004C2FD0" w:rsidP="004C2FD0">
            <w:pPr>
              <w:spacing w:after="135" w:line="240" w:lineRule="auto"/>
              <w:rPr>
                <w:rFonts w:ascii="Times New Roman" w:eastAsia="Times New Roman" w:hAnsi="Times New Roman" w:cs="Times New Roman"/>
                <w:color w:val="333333"/>
                <w:sz w:val="24"/>
                <w:szCs w:val="24"/>
                <w:lang w:eastAsia="uk-UA"/>
              </w:rPr>
            </w:pPr>
            <w:r w:rsidRPr="004B653A">
              <w:rPr>
                <w:rFonts w:ascii="Times New Roman" w:eastAsia="Times New Roman" w:hAnsi="Times New Roman" w:cs="Times New Roman"/>
                <w:color w:val="333333"/>
                <w:sz w:val="24"/>
                <w:szCs w:val="24"/>
                <w:lang w:eastAsia="uk-UA"/>
              </w:rPr>
              <w:lastRenderedPageBreak/>
              <w:t>Альтернатива 4</w:t>
            </w:r>
          </w:p>
          <w:p w:rsidR="004C2FD0" w:rsidRPr="004B653A" w:rsidRDefault="004C2FD0" w:rsidP="004C2FD0">
            <w:pPr>
              <w:spacing w:after="135" w:line="135" w:lineRule="atLeast"/>
              <w:rPr>
                <w:rFonts w:ascii="Times New Roman" w:eastAsia="Times New Roman" w:hAnsi="Times New Roman" w:cs="Times New Roman"/>
                <w:color w:val="333333"/>
                <w:sz w:val="24"/>
                <w:szCs w:val="24"/>
                <w:lang w:eastAsia="uk-UA"/>
              </w:rPr>
            </w:pPr>
            <w:r w:rsidRPr="004B653A">
              <w:rPr>
                <w:rFonts w:ascii="Times New Roman" w:eastAsia="Times New Roman" w:hAnsi="Times New Roman" w:cs="Times New Roman"/>
                <w:color w:val="333333"/>
                <w:sz w:val="24"/>
                <w:szCs w:val="24"/>
                <w:lang w:eastAsia="uk-UA"/>
              </w:rPr>
              <w:t>Ухвалення регуляторного акта диференційованого розміру ставок податку залежно від типів об’єктів нерухомості без диференціації від місця розташування (зональності) об’єктів нерухомості</w:t>
            </w:r>
          </w:p>
        </w:tc>
        <w:tc>
          <w:tcPr>
            <w:tcW w:w="10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4B653A" w:rsidRDefault="004C2FD0" w:rsidP="004C2FD0">
            <w:pPr>
              <w:spacing w:after="135" w:line="240" w:lineRule="auto"/>
              <w:rPr>
                <w:rFonts w:ascii="Times New Roman" w:eastAsia="Times New Roman" w:hAnsi="Times New Roman" w:cs="Times New Roman"/>
                <w:color w:val="333333"/>
                <w:sz w:val="24"/>
                <w:szCs w:val="24"/>
                <w:lang w:eastAsia="uk-UA"/>
              </w:rPr>
            </w:pPr>
            <w:r w:rsidRPr="004B653A">
              <w:rPr>
                <w:rFonts w:ascii="Times New Roman" w:eastAsia="Times New Roman" w:hAnsi="Times New Roman" w:cs="Times New Roman"/>
                <w:color w:val="333333"/>
                <w:sz w:val="24"/>
                <w:szCs w:val="24"/>
                <w:lang w:eastAsia="uk-UA"/>
              </w:rPr>
              <w:t>Застосування альтернативи є найбільш прийнятним.</w:t>
            </w:r>
            <w:r w:rsidR="00DB2889">
              <w:rPr>
                <w:rFonts w:ascii="Times New Roman" w:eastAsia="Times New Roman" w:hAnsi="Times New Roman" w:cs="Times New Roman"/>
                <w:color w:val="333333"/>
                <w:sz w:val="24"/>
                <w:szCs w:val="24"/>
                <w:lang w:eastAsia="uk-UA"/>
              </w:rPr>
              <w:t xml:space="preserve"> </w:t>
            </w:r>
            <w:r w:rsidRPr="004B653A">
              <w:rPr>
                <w:rFonts w:ascii="Times New Roman" w:eastAsia="Times New Roman" w:hAnsi="Times New Roman" w:cs="Times New Roman"/>
                <w:color w:val="333333"/>
                <w:sz w:val="24"/>
                <w:szCs w:val="24"/>
                <w:lang w:eastAsia="uk-UA"/>
              </w:rPr>
              <w:t>Забезпечує досягнення цілей державного регулювання повною мірою. Ставка податку не диференційована залежно від місць розташування (зональності) об’єкта нерухомості, але диференційована залежно від типів об’єктів нерухомості.</w:t>
            </w:r>
          </w:p>
          <w:p w:rsidR="004C2FD0" w:rsidRPr="004B653A" w:rsidRDefault="004C2FD0" w:rsidP="004B653A">
            <w:pPr>
              <w:spacing w:after="135" w:line="135" w:lineRule="atLeast"/>
              <w:rPr>
                <w:rFonts w:ascii="Times New Roman" w:eastAsia="Times New Roman" w:hAnsi="Times New Roman" w:cs="Times New Roman"/>
                <w:color w:val="333333"/>
                <w:sz w:val="24"/>
                <w:szCs w:val="24"/>
                <w:lang w:eastAsia="uk-UA"/>
              </w:rPr>
            </w:pPr>
            <w:r w:rsidRPr="004B653A">
              <w:rPr>
                <w:rFonts w:ascii="Times New Roman" w:eastAsia="Times New Roman" w:hAnsi="Times New Roman" w:cs="Times New Roman"/>
                <w:color w:val="333333"/>
                <w:sz w:val="24"/>
                <w:szCs w:val="24"/>
                <w:lang w:eastAsia="uk-UA"/>
              </w:rPr>
              <w:t xml:space="preserve">Прогнозні надходження від запропонованого регулювання понад </w:t>
            </w:r>
            <w:r w:rsidR="004B653A">
              <w:rPr>
                <w:rFonts w:ascii="Times New Roman" w:eastAsia="Times New Roman" w:hAnsi="Times New Roman" w:cs="Times New Roman"/>
                <w:color w:val="333333"/>
                <w:sz w:val="24"/>
                <w:szCs w:val="24"/>
                <w:lang w:eastAsia="uk-UA"/>
              </w:rPr>
              <w:t xml:space="preserve">49,0 </w:t>
            </w:r>
            <w:proofErr w:type="spellStart"/>
            <w:r w:rsidR="004B653A">
              <w:rPr>
                <w:rFonts w:ascii="Times New Roman" w:eastAsia="Times New Roman" w:hAnsi="Times New Roman" w:cs="Times New Roman"/>
                <w:color w:val="333333"/>
                <w:sz w:val="24"/>
                <w:szCs w:val="24"/>
                <w:lang w:eastAsia="uk-UA"/>
              </w:rPr>
              <w:t>млн.</w:t>
            </w:r>
            <w:r w:rsidR="008E2F86">
              <w:rPr>
                <w:rFonts w:ascii="Times New Roman" w:eastAsia="Times New Roman" w:hAnsi="Times New Roman" w:cs="Times New Roman"/>
                <w:color w:val="333333"/>
                <w:sz w:val="24"/>
                <w:szCs w:val="24"/>
                <w:lang w:eastAsia="uk-UA"/>
              </w:rPr>
              <w:t>грн</w:t>
            </w:r>
            <w:proofErr w:type="spellEnd"/>
            <w:r w:rsidRPr="004B653A">
              <w:rPr>
                <w:rFonts w:ascii="Times New Roman" w:eastAsia="Times New Roman" w:hAnsi="Times New Roman" w:cs="Times New Roman"/>
                <w:color w:val="333333"/>
                <w:sz w:val="24"/>
                <w:szCs w:val="24"/>
                <w:lang w:eastAsia="uk-UA"/>
              </w:rPr>
              <w:t>, що забезпечить фінансув</w:t>
            </w:r>
            <w:r w:rsidR="008E2F86">
              <w:rPr>
                <w:rFonts w:ascii="Times New Roman" w:eastAsia="Times New Roman" w:hAnsi="Times New Roman" w:cs="Times New Roman"/>
                <w:color w:val="333333"/>
                <w:sz w:val="24"/>
                <w:szCs w:val="24"/>
                <w:lang w:eastAsia="uk-UA"/>
              </w:rPr>
              <w:t xml:space="preserve">ання соціально важливих місцевих </w:t>
            </w:r>
            <w:r w:rsidRPr="004B653A">
              <w:rPr>
                <w:rFonts w:ascii="Times New Roman" w:eastAsia="Times New Roman" w:hAnsi="Times New Roman" w:cs="Times New Roman"/>
                <w:color w:val="333333"/>
                <w:sz w:val="24"/>
                <w:szCs w:val="24"/>
                <w:lang w:eastAsia="uk-UA"/>
              </w:rPr>
              <w:t xml:space="preserve">цільових програм  </w:t>
            </w:r>
            <w:r w:rsidR="004B653A">
              <w:rPr>
                <w:rFonts w:ascii="Times New Roman" w:eastAsia="Times New Roman" w:hAnsi="Times New Roman" w:cs="Times New Roman"/>
                <w:color w:val="333333"/>
                <w:sz w:val="24"/>
                <w:szCs w:val="24"/>
                <w:lang w:eastAsia="uk-UA"/>
              </w:rPr>
              <w:t>громади.</w:t>
            </w:r>
          </w:p>
        </w:tc>
      </w:tr>
    </w:tbl>
    <w:p w:rsidR="004C2FD0" w:rsidRPr="004C2FD0" w:rsidRDefault="004C2FD0" w:rsidP="004C2FD0">
      <w:pPr>
        <w:shd w:val="clear" w:color="auto" w:fill="FFFFFF"/>
        <w:spacing w:after="135" w:line="240" w:lineRule="auto"/>
        <w:rPr>
          <w:rFonts w:ascii="Helvetica" w:eastAsia="Times New Roman" w:hAnsi="Helvetica" w:cs="Helvetica"/>
          <w:color w:val="333333"/>
          <w:sz w:val="20"/>
          <w:szCs w:val="20"/>
          <w:lang w:eastAsia="uk-UA"/>
        </w:rPr>
      </w:pPr>
      <w:r w:rsidRPr="004C2FD0">
        <w:rPr>
          <w:rFonts w:ascii="Helvetica" w:eastAsia="Times New Roman" w:hAnsi="Helvetica" w:cs="Helvetica"/>
          <w:color w:val="333333"/>
          <w:sz w:val="20"/>
          <w:szCs w:val="20"/>
          <w:lang w:eastAsia="uk-UA"/>
        </w:rPr>
        <w:t> </w:t>
      </w:r>
    </w:p>
    <w:p w:rsidR="004C2FD0" w:rsidRPr="004C2FD0" w:rsidRDefault="004C2FD0" w:rsidP="004C2FD0">
      <w:pPr>
        <w:shd w:val="clear" w:color="auto" w:fill="FFFFFF"/>
        <w:spacing w:after="135" w:line="240" w:lineRule="auto"/>
        <w:rPr>
          <w:rFonts w:ascii="Helvetica" w:eastAsia="Times New Roman" w:hAnsi="Helvetica" w:cs="Helvetica"/>
          <w:color w:val="333333"/>
          <w:sz w:val="20"/>
          <w:szCs w:val="20"/>
          <w:lang w:eastAsia="uk-UA"/>
        </w:rPr>
      </w:pPr>
      <w:r w:rsidRPr="004C2FD0">
        <w:rPr>
          <w:rFonts w:ascii="Helvetica" w:eastAsia="Times New Roman" w:hAnsi="Helvetica" w:cs="Helvetica"/>
          <w:color w:val="333333"/>
          <w:sz w:val="20"/>
          <w:szCs w:val="20"/>
          <w:lang w:eastAsia="uk-UA"/>
        </w:rPr>
        <w:t> </w:t>
      </w:r>
    </w:p>
    <w:p w:rsidR="004C2FD0" w:rsidRPr="008B6005" w:rsidRDefault="004C2FD0" w:rsidP="004C2FD0">
      <w:pPr>
        <w:shd w:val="clear" w:color="auto" w:fill="FFFFFF"/>
        <w:spacing w:after="135" w:line="240" w:lineRule="auto"/>
        <w:jc w:val="center"/>
        <w:rPr>
          <w:rFonts w:ascii="Times New Roman" w:eastAsia="Times New Roman" w:hAnsi="Times New Roman" w:cs="Times New Roman"/>
          <w:color w:val="333333"/>
          <w:sz w:val="24"/>
          <w:szCs w:val="24"/>
          <w:lang w:eastAsia="uk-UA"/>
        </w:rPr>
      </w:pPr>
      <w:r w:rsidRPr="008B6005">
        <w:rPr>
          <w:rFonts w:ascii="Times New Roman" w:eastAsia="Times New Roman" w:hAnsi="Times New Roman" w:cs="Times New Roman"/>
          <w:b/>
          <w:bCs/>
          <w:color w:val="333333"/>
          <w:sz w:val="24"/>
          <w:szCs w:val="24"/>
          <w:lang w:eastAsia="uk-UA"/>
        </w:rPr>
        <w:t>2. Оцінка  вибраних альтернативних способів досягнення цілей</w:t>
      </w:r>
    </w:p>
    <w:p w:rsidR="004C2FD0" w:rsidRPr="008B6005" w:rsidRDefault="004C2FD0" w:rsidP="004C2FD0">
      <w:pPr>
        <w:shd w:val="clear" w:color="auto" w:fill="FFFFFF"/>
        <w:spacing w:after="135" w:line="240" w:lineRule="auto"/>
        <w:jc w:val="center"/>
        <w:rPr>
          <w:rFonts w:ascii="Times New Roman" w:eastAsia="Times New Roman" w:hAnsi="Times New Roman" w:cs="Times New Roman"/>
          <w:color w:val="333333"/>
          <w:sz w:val="24"/>
          <w:szCs w:val="24"/>
          <w:lang w:eastAsia="uk-UA"/>
        </w:rPr>
      </w:pPr>
      <w:r w:rsidRPr="008B6005">
        <w:rPr>
          <w:rFonts w:ascii="Times New Roman" w:eastAsia="Times New Roman" w:hAnsi="Times New Roman" w:cs="Times New Roman"/>
          <w:color w:val="333333"/>
          <w:sz w:val="24"/>
          <w:szCs w:val="24"/>
          <w:lang w:eastAsia="uk-UA"/>
        </w:rPr>
        <w:t> </w:t>
      </w:r>
    </w:p>
    <w:p w:rsidR="004C2FD0" w:rsidRPr="008B6005" w:rsidRDefault="004C2FD0" w:rsidP="004C2FD0">
      <w:pPr>
        <w:shd w:val="clear" w:color="auto" w:fill="FFFFFF"/>
        <w:spacing w:after="135" w:line="240" w:lineRule="auto"/>
        <w:jc w:val="center"/>
        <w:rPr>
          <w:rFonts w:ascii="Times New Roman" w:eastAsia="Times New Roman" w:hAnsi="Times New Roman" w:cs="Times New Roman"/>
          <w:color w:val="333333"/>
          <w:sz w:val="24"/>
          <w:szCs w:val="24"/>
          <w:lang w:eastAsia="uk-UA"/>
        </w:rPr>
      </w:pPr>
      <w:r w:rsidRPr="008B6005">
        <w:rPr>
          <w:rFonts w:ascii="Times New Roman" w:eastAsia="Times New Roman" w:hAnsi="Times New Roman" w:cs="Times New Roman"/>
          <w:b/>
          <w:bCs/>
          <w:color w:val="333333"/>
          <w:sz w:val="24"/>
          <w:szCs w:val="24"/>
          <w:lang w:eastAsia="uk-UA"/>
        </w:rPr>
        <w:t>Оцінка впливу на сферу інтересів держави (органів місцевого самоврядування)</w:t>
      </w:r>
    </w:p>
    <w:tbl>
      <w:tblPr>
        <w:tblW w:w="964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415"/>
        <w:gridCol w:w="3405"/>
        <w:gridCol w:w="3825"/>
      </w:tblGrid>
      <w:tr w:rsidR="004C2FD0" w:rsidRPr="008B6005" w:rsidTr="008B6005">
        <w:tc>
          <w:tcPr>
            <w:tcW w:w="24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B6005"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8B6005">
              <w:rPr>
                <w:rFonts w:ascii="Times New Roman" w:eastAsia="Times New Roman" w:hAnsi="Times New Roman" w:cs="Times New Roman"/>
                <w:b/>
                <w:bCs/>
                <w:i/>
                <w:iCs/>
                <w:color w:val="333333"/>
                <w:sz w:val="24"/>
                <w:szCs w:val="24"/>
                <w:lang w:eastAsia="uk-UA"/>
              </w:rPr>
              <w:t>Вид альтернативи</w:t>
            </w:r>
          </w:p>
        </w:tc>
        <w:tc>
          <w:tcPr>
            <w:tcW w:w="34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B6005"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8B6005">
              <w:rPr>
                <w:rFonts w:ascii="Times New Roman" w:eastAsia="Times New Roman" w:hAnsi="Times New Roman" w:cs="Times New Roman"/>
                <w:b/>
                <w:bCs/>
                <w:i/>
                <w:iCs/>
                <w:color w:val="333333"/>
                <w:sz w:val="24"/>
                <w:szCs w:val="24"/>
                <w:lang w:eastAsia="uk-UA"/>
              </w:rPr>
              <w:t>Вигоди</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B6005"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8B6005">
              <w:rPr>
                <w:rFonts w:ascii="Times New Roman" w:eastAsia="Times New Roman" w:hAnsi="Times New Roman" w:cs="Times New Roman"/>
                <w:b/>
                <w:bCs/>
                <w:i/>
                <w:iCs/>
                <w:color w:val="333333"/>
                <w:sz w:val="24"/>
                <w:szCs w:val="24"/>
                <w:lang w:eastAsia="uk-UA"/>
              </w:rPr>
              <w:t>Витрати</w:t>
            </w:r>
          </w:p>
        </w:tc>
      </w:tr>
      <w:tr w:rsidR="004C2FD0" w:rsidRPr="008B6005" w:rsidTr="008B6005">
        <w:tc>
          <w:tcPr>
            <w:tcW w:w="24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B6005"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8B6005">
              <w:rPr>
                <w:rFonts w:ascii="Times New Roman" w:eastAsia="Times New Roman" w:hAnsi="Times New Roman" w:cs="Times New Roman"/>
                <w:b/>
                <w:bCs/>
                <w:i/>
                <w:iCs/>
                <w:color w:val="333333"/>
                <w:sz w:val="24"/>
                <w:szCs w:val="24"/>
                <w:lang w:eastAsia="uk-UA"/>
              </w:rPr>
              <w:t>1</w:t>
            </w:r>
          </w:p>
        </w:tc>
        <w:tc>
          <w:tcPr>
            <w:tcW w:w="34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B6005"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8B6005">
              <w:rPr>
                <w:rFonts w:ascii="Times New Roman" w:eastAsia="Times New Roman" w:hAnsi="Times New Roman" w:cs="Times New Roman"/>
                <w:b/>
                <w:bCs/>
                <w:i/>
                <w:iCs/>
                <w:color w:val="333333"/>
                <w:sz w:val="24"/>
                <w:szCs w:val="24"/>
                <w:lang w:eastAsia="uk-UA"/>
              </w:rPr>
              <w:t>2</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B6005"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8B6005">
              <w:rPr>
                <w:rFonts w:ascii="Times New Roman" w:eastAsia="Times New Roman" w:hAnsi="Times New Roman" w:cs="Times New Roman"/>
                <w:b/>
                <w:bCs/>
                <w:i/>
                <w:iCs/>
                <w:color w:val="333333"/>
                <w:sz w:val="24"/>
                <w:szCs w:val="24"/>
                <w:lang w:eastAsia="uk-UA"/>
              </w:rPr>
              <w:t>3</w:t>
            </w:r>
          </w:p>
        </w:tc>
      </w:tr>
      <w:tr w:rsidR="004C2FD0" w:rsidRPr="008B6005" w:rsidTr="00DB2889">
        <w:trPr>
          <w:trHeight w:val="3048"/>
        </w:trPr>
        <w:tc>
          <w:tcPr>
            <w:tcW w:w="24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B6005" w:rsidRDefault="004C2FD0" w:rsidP="004C2FD0">
            <w:pPr>
              <w:spacing w:after="135" w:line="240" w:lineRule="auto"/>
              <w:rPr>
                <w:rFonts w:ascii="Times New Roman" w:eastAsia="Times New Roman" w:hAnsi="Times New Roman" w:cs="Times New Roman"/>
                <w:color w:val="333333"/>
                <w:sz w:val="24"/>
                <w:szCs w:val="24"/>
                <w:lang w:eastAsia="uk-UA"/>
              </w:rPr>
            </w:pPr>
            <w:r w:rsidRPr="008B6005">
              <w:rPr>
                <w:rFonts w:ascii="Times New Roman" w:eastAsia="Times New Roman" w:hAnsi="Times New Roman" w:cs="Times New Roman"/>
                <w:color w:val="333333"/>
                <w:sz w:val="24"/>
                <w:szCs w:val="24"/>
                <w:lang w:eastAsia="uk-UA"/>
              </w:rPr>
              <w:t>Альтернатива 1</w:t>
            </w:r>
          </w:p>
        </w:tc>
        <w:tc>
          <w:tcPr>
            <w:tcW w:w="34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B6005" w:rsidRDefault="004C2FD0" w:rsidP="00DB2889">
            <w:pPr>
              <w:spacing w:after="135" w:line="240" w:lineRule="auto"/>
              <w:rPr>
                <w:rFonts w:ascii="Times New Roman" w:eastAsia="Times New Roman" w:hAnsi="Times New Roman" w:cs="Times New Roman"/>
                <w:color w:val="333333"/>
                <w:sz w:val="24"/>
                <w:szCs w:val="24"/>
                <w:lang w:eastAsia="uk-UA"/>
              </w:rPr>
            </w:pPr>
            <w:r w:rsidRPr="008B6005">
              <w:rPr>
                <w:rFonts w:ascii="Times New Roman" w:eastAsia="Times New Roman" w:hAnsi="Times New Roman" w:cs="Times New Roman"/>
                <w:color w:val="333333"/>
                <w:sz w:val="24"/>
                <w:szCs w:val="24"/>
                <w:lang w:eastAsia="uk-UA"/>
              </w:rPr>
              <w:t>Вигоди відсутні. Незалежно від можливості покращення інвестиційної привабливості території, жителі втратять пільги, спостерігатиметься недофінансування витрат на місцеві соціально важливі програми.</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B6005" w:rsidRDefault="00DB2889" w:rsidP="008B6005">
            <w:pPr>
              <w:spacing w:after="0" w:line="240"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Дія рішення міської ради</w:t>
            </w:r>
            <w:r w:rsidR="004C2FD0" w:rsidRPr="008B6005">
              <w:rPr>
                <w:rFonts w:ascii="Times New Roman" w:eastAsia="Times New Roman" w:hAnsi="Times New Roman" w:cs="Times New Roman"/>
                <w:color w:val="333333"/>
                <w:sz w:val="24"/>
                <w:szCs w:val="24"/>
                <w:lang w:eastAsia="uk-UA"/>
              </w:rPr>
              <w:t xml:space="preserve"> поширюється тільки на 2020 рік. На</w:t>
            </w:r>
            <w:r w:rsidR="008E2F86">
              <w:rPr>
                <w:rFonts w:ascii="Times New Roman" w:eastAsia="Times New Roman" w:hAnsi="Times New Roman" w:cs="Times New Roman"/>
                <w:color w:val="333333"/>
                <w:sz w:val="24"/>
                <w:szCs w:val="24"/>
                <w:lang w:eastAsia="uk-UA"/>
              </w:rPr>
              <w:t xml:space="preserve"> наступний бюджетний рік у громаді</w:t>
            </w:r>
            <w:r w:rsidR="004C2FD0" w:rsidRPr="008B6005">
              <w:rPr>
                <w:rFonts w:ascii="Times New Roman" w:eastAsia="Times New Roman" w:hAnsi="Times New Roman" w:cs="Times New Roman"/>
                <w:color w:val="333333"/>
                <w:sz w:val="24"/>
                <w:szCs w:val="24"/>
                <w:lang w:eastAsia="uk-UA"/>
              </w:rPr>
              <w:t xml:space="preserve"> відсутній регуляторний акт, що унеможливлює  нарахування та сплату податку</w:t>
            </w:r>
            <w:r w:rsidR="008B6005">
              <w:rPr>
                <w:rFonts w:ascii="Times New Roman" w:eastAsia="Times New Roman" w:hAnsi="Times New Roman" w:cs="Times New Roman"/>
                <w:color w:val="333333"/>
                <w:sz w:val="24"/>
                <w:szCs w:val="24"/>
                <w:lang w:eastAsia="uk-UA"/>
              </w:rPr>
              <w:t xml:space="preserve"> </w:t>
            </w:r>
            <w:r w:rsidR="004C2FD0" w:rsidRPr="008B6005">
              <w:rPr>
                <w:rFonts w:ascii="Times New Roman" w:eastAsia="Times New Roman" w:hAnsi="Times New Roman" w:cs="Times New Roman"/>
                <w:color w:val="333333"/>
                <w:sz w:val="24"/>
                <w:szCs w:val="24"/>
                <w:lang w:eastAsia="uk-UA"/>
              </w:rPr>
              <w:t>на нерухоме майно, відмінне від земельної ділянки. Наслідком</w:t>
            </w:r>
            <w:r w:rsidR="008B6005">
              <w:rPr>
                <w:rFonts w:ascii="Times New Roman" w:eastAsia="Times New Roman" w:hAnsi="Times New Roman" w:cs="Times New Roman"/>
                <w:color w:val="333333"/>
                <w:sz w:val="24"/>
                <w:szCs w:val="24"/>
                <w:lang w:eastAsia="uk-UA"/>
              </w:rPr>
              <w:t> </w:t>
            </w:r>
            <w:r w:rsidR="004C2FD0" w:rsidRPr="008B6005">
              <w:rPr>
                <w:rFonts w:ascii="Times New Roman" w:eastAsia="Times New Roman" w:hAnsi="Times New Roman" w:cs="Times New Roman"/>
                <w:color w:val="333333"/>
                <w:sz w:val="24"/>
                <w:szCs w:val="24"/>
                <w:lang w:eastAsia="uk-UA"/>
              </w:rPr>
              <w:t xml:space="preserve"> </w:t>
            </w:r>
            <w:r w:rsidR="008B6005">
              <w:rPr>
                <w:rFonts w:ascii="Times New Roman" w:eastAsia="Times New Roman" w:hAnsi="Times New Roman" w:cs="Times New Roman"/>
                <w:color w:val="333333"/>
                <w:sz w:val="24"/>
                <w:szCs w:val="24"/>
                <w:lang w:eastAsia="uk-UA"/>
              </w:rPr>
              <w:t>є</w:t>
            </w:r>
            <w:r w:rsidR="004C2FD0" w:rsidRPr="008B6005">
              <w:rPr>
                <w:rFonts w:ascii="Times New Roman" w:eastAsia="Times New Roman" w:hAnsi="Times New Roman" w:cs="Times New Roman"/>
                <w:color w:val="333333"/>
                <w:sz w:val="24"/>
                <w:szCs w:val="24"/>
                <w:lang w:eastAsia="uk-UA"/>
              </w:rPr>
              <w:t xml:space="preserve"> </w:t>
            </w:r>
            <w:r>
              <w:rPr>
                <w:rFonts w:ascii="Times New Roman" w:eastAsia="Times New Roman" w:hAnsi="Times New Roman" w:cs="Times New Roman"/>
                <w:color w:val="333333"/>
                <w:sz w:val="24"/>
                <w:szCs w:val="24"/>
                <w:lang w:eastAsia="uk-UA"/>
              </w:rPr>
              <w:t>н</w:t>
            </w:r>
            <w:r w:rsidR="004C2FD0" w:rsidRPr="008B6005">
              <w:rPr>
                <w:rFonts w:ascii="Times New Roman" w:eastAsia="Times New Roman" w:hAnsi="Times New Roman" w:cs="Times New Roman"/>
                <w:color w:val="333333"/>
                <w:sz w:val="24"/>
                <w:szCs w:val="24"/>
                <w:lang w:eastAsia="uk-UA"/>
              </w:rPr>
              <w:t>едоотримання    бюджетом</w:t>
            </w:r>
          </w:p>
          <w:p w:rsidR="004C2FD0" w:rsidRPr="008B6005" w:rsidRDefault="008E2F86" w:rsidP="00DB2889">
            <w:pPr>
              <w:spacing w:after="0" w:line="240"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громади</w:t>
            </w:r>
            <w:r w:rsidR="004C2FD0" w:rsidRPr="008B6005">
              <w:rPr>
                <w:rFonts w:ascii="Times New Roman" w:eastAsia="Times New Roman" w:hAnsi="Times New Roman" w:cs="Times New Roman"/>
                <w:color w:val="333333"/>
                <w:sz w:val="24"/>
                <w:szCs w:val="24"/>
                <w:lang w:eastAsia="uk-UA"/>
              </w:rPr>
              <w:t xml:space="preserve"> надходжень в розмірі </w:t>
            </w:r>
            <w:r w:rsidR="008B6005">
              <w:rPr>
                <w:rFonts w:ascii="Times New Roman" w:eastAsia="Times New Roman" w:hAnsi="Times New Roman" w:cs="Times New Roman"/>
                <w:color w:val="333333"/>
                <w:sz w:val="24"/>
                <w:szCs w:val="24"/>
                <w:lang w:eastAsia="uk-UA"/>
              </w:rPr>
              <w:t xml:space="preserve">49,0 </w:t>
            </w:r>
            <w:proofErr w:type="spellStart"/>
            <w:r w:rsidR="008B6005">
              <w:rPr>
                <w:rFonts w:ascii="Times New Roman" w:eastAsia="Times New Roman" w:hAnsi="Times New Roman" w:cs="Times New Roman"/>
                <w:color w:val="333333"/>
                <w:sz w:val="24"/>
                <w:szCs w:val="24"/>
                <w:lang w:eastAsia="uk-UA"/>
              </w:rPr>
              <w:t>млн</w:t>
            </w:r>
            <w:r w:rsidR="004C2FD0" w:rsidRPr="008B6005">
              <w:rPr>
                <w:rFonts w:ascii="Times New Roman" w:eastAsia="Times New Roman" w:hAnsi="Times New Roman" w:cs="Times New Roman"/>
                <w:color w:val="333333"/>
                <w:sz w:val="24"/>
                <w:szCs w:val="24"/>
                <w:lang w:eastAsia="uk-UA"/>
              </w:rPr>
              <w:t>.грн</w:t>
            </w:r>
            <w:proofErr w:type="spellEnd"/>
            <w:r w:rsidR="004C2FD0" w:rsidRPr="008B6005">
              <w:rPr>
                <w:rFonts w:ascii="Times New Roman" w:eastAsia="Times New Roman" w:hAnsi="Times New Roman" w:cs="Times New Roman"/>
                <w:color w:val="333333"/>
                <w:sz w:val="24"/>
                <w:szCs w:val="24"/>
                <w:lang w:eastAsia="uk-UA"/>
              </w:rPr>
              <w:t>, які можливо було б направити на   фінансування цільових програм</w:t>
            </w:r>
            <w:r w:rsidR="008B6005">
              <w:rPr>
                <w:rFonts w:ascii="Times New Roman" w:eastAsia="Times New Roman" w:hAnsi="Times New Roman" w:cs="Times New Roman"/>
                <w:color w:val="333333"/>
                <w:sz w:val="24"/>
                <w:szCs w:val="24"/>
                <w:lang w:eastAsia="uk-UA"/>
              </w:rPr>
              <w:t xml:space="preserve"> громади.</w:t>
            </w:r>
            <w:r w:rsidR="00DB2889">
              <w:rPr>
                <w:rFonts w:ascii="Times New Roman" w:eastAsia="Times New Roman" w:hAnsi="Times New Roman" w:cs="Times New Roman"/>
                <w:color w:val="333333"/>
                <w:sz w:val="24"/>
                <w:szCs w:val="24"/>
                <w:lang w:eastAsia="uk-UA"/>
              </w:rPr>
              <w:t xml:space="preserve"> </w:t>
            </w:r>
          </w:p>
        </w:tc>
      </w:tr>
      <w:tr w:rsidR="004C2FD0" w:rsidRPr="008B6005" w:rsidTr="008B6005">
        <w:tc>
          <w:tcPr>
            <w:tcW w:w="24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B6005" w:rsidRDefault="004C2FD0" w:rsidP="004C2FD0">
            <w:pPr>
              <w:spacing w:after="135" w:line="240" w:lineRule="auto"/>
              <w:rPr>
                <w:rFonts w:ascii="Times New Roman" w:eastAsia="Times New Roman" w:hAnsi="Times New Roman" w:cs="Times New Roman"/>
                <w:color w:val="333333"/>
                <w:sz w:val="24"/>
                <w:szCs w:val="24"/>
                <w:lang w:eastAsia="uk-UA"/>
              </w:rPr>
            </w:pPr>
            <w:r w:rsidRPr="008B6005">
              <w:rPr>
                <w:rFonts w:ascii="Times New Roman" w:eastAsia="Times New Roman" w:hAnsi="Times New Roman" w:cs="Times New Roman"/>
                <w:color w:val="333333"/>
                <w:sz w:val="24"/>
                <w:szCs w:val="24"/>
                <w:lang w:eastAsia="uk-UA"/>
              </w:rPr>
              <w:t>Альтернатива 2</w:t>
            </w:r>
          </w:p>
        </w:tc>
        <w:tc>
          <w:tcPr>
            <w:tcW w:w="34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B6005" w:rsidRDefault="004C2FD0" w:rsidP="00DB2889">
            <w:pPr>
              <w:spacing w:after="135" w:line="240" w:lineRule="auto"/>
              <w:rPr>
                <w:rFonts w:ascii="Times New Roman" w:eastAsia="Times New Roman" w:hAnsi="Times New Roman" w:cs="Times New Roman"/>
                <w:color w:val="333333"/>
                <w:sz w:val="24"/>
                <w:szCs w:val="24"/>
                <w:lang w:eastAsia="uk-UA"/>
              </w:rPr>
            </w:pPr>
            <w:r w:rsidRPr="008B6005">
              <w:rPr>
                <w:rFonts w:ascii="Times New Roman" w:eastAsia="Times New Roman" w:hAnsi="Times New Roman" w:cs="Times New Roman"/>
                <w:color w:val="333333"/>
                <w:sz w:val="24"/>
                <w:szCs w:val="24"/>
                <w:lang w:eastAsia="uk-UA"/>
              </w:rPr>
              <w:t>Прийняття нормативного акта органу місцевого самоврядування</w:t>
            </w:r>
            <w:r w:rsidR="00DB2889">
              <w:rPr>
                <w:rFonts w:ascii="Times New Roman" w:eastAsia="Times New Roman" w:hAnsi="Times New Roman" w:cs="Times New Roman"/>
                <w:color w:val="333333"/>
                <w:sz w:val="24"/>
                <w:szCs w:val="24"/>
                <w:lang w:eastAsia="uk-UA"/>
              </w:rPr>
              <w:t xml:space="preserve"> </w:t>
            </w:r>
            <w:r w:rsidRPr="008B6005">
              <w:rPr>
                <w:rFonts w:ascii="Times New Roman" w:eastAsia="Times New Roman" w:hAnsi="Times New Roman" w:cs="Times New Roman"/>
                <w:color w:val="333333"/>
                <w:sz w:val="24"/>
                <w:szCs w:val="24"/>
                <w:lang w:eastAsia="uk-UA"/>
              </w:rPr>
              <w:t xml:space="preserve">з урахуванням вимог Кодексу. Збільшення надходжень до бюджету </w:t>
            </w:r>
            <w:r w:rsidR="008B6005">
              <w:rPr>
                <w:rFonts w:ascii="Times New Roman" w:eastAsia="Times New Roman" w:hAnsi="Times New Roman" w:cs="Times New Roman"/>
                <w:color w:val="333333"/>
                <w:sz w:val="24"/>
                <w:szCs w:val="24"/>
                <w:lang w:eastAsia="uk-UA"/>
              </w:rPr>
              <w:t>громади</w:t>
            </w:r>
            <w:r w:rsidRPr="008B6005">
              <w:rPr>
                <w:rFonts w:ascii="Times New Roman" w:eastAsia="Times New Roman" w:hAnsi="Times New Roman" w:cs="Times New Roman"/>
                <w:color w:val="333333"/>
                <w:sz w:val="24"/>
                <w:szCs w:val="24"/>
                <w:lang w:eastAsia="uk-UA"/>
              </w:rPr>
              <w:t xml:space="preserve"> від </w:t>
            </w:r>
            <w:r w:rsidR="00DB2889">
              <w:rPr>
                <w:rFonts w:ascii="Times New Roman" w:eastAsia="Times New Roman" w:hAnsi="Times New Roman" w:cs="Times New Roman"/>
                <w:color w:val="333333"/>
                <w:sz w:val="24"/>
                <w:szCs w:val="24"/>
                <w:lang w:eastAsia="uk-UA"/>
              </w:rPr>
              <w:t xml:space="preserve">сплати податку </w:t>
            </w:r>
            <w:r w:rsidRPr="008B6005">
              <w:rPr>
                <w:rFonts w:ascii="Times New Roman" w:eastAsia="Times New Roman" w:hAnsi="Times New Roman" w:cs="Times New Roman"/>
                <w:color w:val="333333"/>
                <w:sz w:val="24"/>
                <w:szCs w:val="24"/>
                <w:lang w:eastAsia="uk-UA"/>
              </w:rPr>
              <w:t>на нерухоме майно, відмінне від земельної ділянки, які можливо направити для забезпечення фінансування соціально важливих міських цільових програм, бюджетної сфери в галузях освіти,  соціального захисту, житлово-комунального та дорожнього господарства, транспорту тощо.</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B6005" w:rsidRDefault="004C2FD0" w:rsidP="004C2FD0">
            <w:pPr>
              <w:spacing w:after="135" w:line="240" w:lineRule="auto"/>
              <w:rPr>
                <w:rFonts w:ascii="Times New Roman" w:eastAsia="Times New Roman" w:hAnsi="Times New Roman" w:cs="Times New Roman"/>
                <w:color w:val="333333"/>
                <w:sz w:val="24"/>
                <w:szCs w:val="24"/>
                <w:lang w:eastAsia="uk-UA"/>
              </w:rPr>
            </w:pPr>
            <w:r w:rsidRPr="008B6005">
              <w:rPr>
                <w:rFonts w:ascii="Times New Roman" w:eastAsia="Times New Roman" w:hAnsi="Times New Roman" w:cs="Times New Roman"/>
                <w:color w:val="333333"/>
                <w:sz w:val="24"/>
                <w:szCs w:val="24"/>
                <w:lang w:eastAsia="uk-UA"/>
              </w:rPr>
              <w:t>Витрати часу, матеріальних ресурсів для фіскальних органів на адміністрування податку на нерухоме майно, відмінне від земельної ділянки</w:t>
            </w:r>
          </w:p>
        </w:tc>
      </w:tr>
      <w:tr w:rsidR="004C2FD0" w:rsidRPr="008B6005" w:rsidTr="008B6005">
        <w:trPr>
          <w:trHeight w:val="1613"/>
        </w:trPr>
        <w:tc>
          <w:tcPr>
            <w:tcW w:w="24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B6005" w:rsidRDefault="004C2FD0" w:rsidP="004C2FD0">
            <w:pPr>
              <w:spacing w:after="135" w:line="240" w:lineRule="auto"/>
              <w:rPr>
                <w:rFonts w:ascii="Times New Roman" w:eastAsia="Times New Roman" w:hAnsi="Times New Roman" w:cs="Times New Roman"/>
                <w:color w:val="333333"/>
                <w:sz w:val="24"/>
                <w:szCs w:val="24"/>
                <w:lang w:eastAsia="uk-UA"/>
              </w:rPr>
            </w:pPr>
            <w:r w:rsidRPr="008B6005">
              <w:rPr>
                <w:rFonts w:ascii="Times New Roman" w:eastAsia="Times New Roman" w:hAnsi="Times New Roman" w:cs="Times New Roman"/>
                <w:color w:val="333333"/>
                <w:sz w:val="24"/>
                <w:szCs w:val="24"/>
                <w:lang w:eastAsia="uk-UA"/>
              </w:rPr>
              <w:lastRenderedPageBreak/>
              <w:t>Альтернатива 3</w:t>
            </w:r>
          </w:p>
        </w:tc>
        <w:tc>
          <w:tcPr>
            <w:tcW w:w="34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B6005" w:rsidRDefault="004C2FD0" w:rsidP="00DB2889">
            <w:pPr>
              <w:spacing w:after="135" w:line="240" w:lineRule="auto"/>
              <w:rPr>
                <w:rFonts w:ascii="Times New Roman" w:eastAsia="Times New Roman" w:hAnsi="Times New Roman" w:cs="Times New Roman"/>
                <w:color w:val="333333"/>
                <w:sz w:val="24"/>
                <w:szCs w:val="24"/>
                <w:lang w:eastAsia="uk-UA"/>
              </w:rPr>
            </w:pPr>
            <w:r w:rsidRPr="008B6005">
              <w:rPr>
                <w:rFonts w:ascii="Times New Roman" w:eastAsia="Times New Roman" w:hAnsi="Times New Roman" w:cs="Times New Roman"/>
                <w:color w:val="333333"/>
                <w:sz w:val="24"/>
                <w:szCs w:val="24"/>
                <w:lang w:eastAsia="uk-UA"/>
              </w:rPr>
              <w:t>Забезпечує досягнення цілей державного регулювання, але є неможливим через відсутність зональності міста в затверджених межах </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B6005" w:rsidRDefault="004C2FD0" w:rsidP="004C2FD0">
            <w:pPr>
              <w:spacing w:after="135" w:line="240" w:lineRule="auto"/>
              <w:rPr>
                <w:rFonts w:ascii="Times New Roman" w:eastAsia="Times New Roman" w:hAnsi="Times New Roman" w:cs="Times New Roman"/>
                <w:color w:val="333333"/>
                <w:sz w:val="24"/>
                <w:szCs w:val="24"/>
                <w:lang w:eastAsia="uk-UA"/>
              </w:rPr>
            </w:pPr>
            <w:r w:rsidRPr="008B6005">
              <w:rPr>
                <w:rFonts w:ascii="Times New Roman" w:eastAsia="Times New Roman" w:hAnsi="Times New Roman" w:cs="Times New Roman"/>
                <w:color w:val="333333"/>
                <w:sz w:val="24"/>
                <w:szCs w:val="24"/>
                <w:lang w:eastAsia="uk-UA"/>
              </w:rPr>
              <w:t>Витрати часу, матеріальних ресурсів для фіскальних органів на адміністрування податку на нерухоме майно, відмінне від земельної ділянки</w:t>
            </w:r>
          </w:p>
        </w:tc>
      </w:tr>
      <w:tr w:rsidR="004C2FD0" w:rsidRPr="008B6005" w:rsidTr="008B6005">
        <w:trPr>
          <w:trHeight w:val="2080"/>
        </w:trPr>
        <w:tc>
          <w:tcPr>
            <w:tcW w:w="24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B6005" w:rsidRDefault="004C2FD0" w:rsidP="004C2FD0">
            <w:pPr>
              <w:spacing w:after="135" w:line="240" w:lineRule="auto"/>
              <w:rPr>
                <w:rFonts w:ascii="Times New Roman" w:eastAsia="Times New Roman" w:hAnsi="Times New Roman" w:cs="Times New Roman"/>
                <w:color w:val="333333"/>
                <w:sz w:val="24"/>
                <w:szCs w:val="24"/>
                <w:lang w:eastAsia="uk-UA"/>
              </w:rPr>
            </w:pPr>
            <w:r w:rsidRPr="008B6005">
              <w:rPr>
                <w:rFonts w:ascii="Times New Roman" w:eastAsia="Times New Roman" w:hAnsi="Times New Roman" w:cs="Times New Roman"/>
                <w:color w:val="333333"/>
                <w:sz w:val="24"/>
                <w:szCs w:val="24"/>
                <w:lang w:eastAsia="uk-UA"/>
              </w:rPr>
              <w:t>Альтернатива 4</w:t>
            </w:r>
          </w:p>
        </w:tc>
        <w:tc>
          <w:tcPr>
            <w:tcW w:w="34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B6005" w:rsidRDefault="004C2FD0" w:rsidP="00DB2889">
            <w:pPr>
              <w:spacing w:after="135" w:line="240" w:lineRule="auto"/>
              <w:rPr>
                <w:rFonts w:ascii="Times New Roman" w:eastAsia="Times New Roman" w:hAnsi="Times New Roman" w:cs="Times New Roman"/>
                <w:color w:val="333333"/>
                <w:sz w:val="24"/>
                <w:szCs w:val="24"/>
                <w:lang w:eastAsia="uk-UA"/>
              </w:rPr>
            </w:pPr>
            <w:r w:rsidRPr="008B6005">
              <w:rPr>
                <w:rFonts w:ascii="Times New Roman" w:eastAsia="Times New Roman" w:hAnsi="Times New Roman" w:cs="Times New Roman"/>
                <w:color w:val="333333"/>
                <w:sz w:val="24"/>
                <w:szCs w:val="24"/>
                <w:lang w:eastAsia="uk-UA"/>
              </w:rPr>
              <w:t>Альтернатива забезпечує усі цілі державного регулювання та в повній мірі враховує інтереси жителів громади щодо розвитку територій шляхом фінансування міських програм. </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B6005" w:rsidRDefault="004C2FD0" w:rsidP="008B6005">
            <w:pPr>
              <w:spacing w:after="135" w:line="240" w:lineRule="auto"/>
              <w:rPr>
                <w:rFonts w:ascii="Times New Roman" w:eastAsia="Times New Roman" w:hAnsi="Times New Roman" w:cs="Times New Roman"/>
                <w:color w:val="333333"/>
                <w:sz w:val="24"/>
                <w:szCs w:val="24"/>
                <w:lang w:eastAsia="uk-UA"/>
              </w:rPr>
            </w:pPr>
            <w:r w:rsidRPr="008B6005">
              <w:rPr>
                <w:rFonts w:ascii="Times New Roman" w:eastAsia="Times New Roman" w:hAnsi="Times New Roman" w:cs="Times New Roman"/>
                <w:color w:val="333333"/>
                <w:sz w:val="24"/>
                <w:szCs w:val="24"/>
                <w:lang w:eastAsia="uk-UA"/>
              </w:rPr>
              <w:t xml:space="preserve">Витрати часу, матеріальних ресурсів для фіскальних органів на адміністрування податку на нерухоме майно, відмінне від земельної ділянки, отримання міським бюджетом коштів в розмірі </w:t>
            </w:r>
            <w:r w:rsidR="008B6005">
              <w:rPr>
                <w:rFonts w:ascii="Times New Roman" w:eastAsia="Times New Roman" w:hAnsi="Times New Roman" w:cs="Times New Roman"/>
                <w:color w:val="333333"/>
                <w:sz w:val="24"/>
                <w:szCs w:val="24"/>
                <w:lang w:eastAsia="uk-UA"/>
              </w:rPr>
              <w:t xml:space="preserve">49,0 </w:t>
            </w:r>
            <w:proofErr w:type="spellStart"/>
            <w:r w:rsidR="008B6005">
              <w:rPr>
                <w:rFonts w:ascii="Times New Roman" w:eastAsia="Times New Roman" w:hAnsi="Times New Roman" w:cs="Times New Roman"/>
                <w:color w:val="333333"/>
                <w:sz w:val="24"/>
                <w:szCs w:val="24"/>
                <w:lang w:eastAsia="uk-UA"/>
              </w:rPr>
              <w:t>млн.</w:t>
            </w:r>
            <w:r w:rsidRPr="008B6005">
              <w:rPr>
                <w:rFonts w:ascii="Times New Roman" w:eastAsia="Times New Roman" w:hAnsi="Times New Roman" w:cs="Times New Roman"/>
                <w:color w:val="333333"/>
                <w:sz w:val="24"/>
                <w:szCs w:val="24"/>
                <w:lang w:eastAsia="uk-UA"/>
              </w:rPr>
              <w:t>грн</w:t>
            </w:r>
            <w:proofErr w:type="spellEnd"/>
            <w:r w:rsidRPr="008B6005">
              <w:rPr>
                <w:rFonts w:ascii="Times New Roman" w:eastAsia="Times New Roman" w:hAnsi="Times New Roman" w:cs="Times New Roman"/>
                <w:color w:val="333333"/>
                <w:sz w:val="24"/>
                <w:szCs w:val="24"/>
                <w:lang w:eastAsia="uk-UA"/>
              </w:rPr>
              <w:t>.</w:t>
            </w:r>
          </w:p>
        </w:tc>
      </w:tr>
    </w:tbl>
    <w:p w:rsidR="004C2FD0" w:rsidRPr="008B6005" w:rsidRDefault="004C2FD0" w:rsidP="004C2FD0">
      <w:pPr>
        <w:shd w:val="clear" w:color="auto" w:fill="FFFFFF"/>
        <w:spacing w:after="135" w:line="240" w:lineRule="auto"/>
        <w:rPr>
          <w:rFonts w:ascii="Times New Roman" w:eastAsia="Times New Roman" w:hAnsi="Times New Roman" w:cs="Times New Roman"/>
          <w:color w:val="333333"/>
          <w:sz w:val="24"/>
          <w:szCs w:val="24"/>
          <w:lang w:eastAsia="uk-UA"/>
        </w:rPr>
      </w:pPr>
      <w:r w:rsidRPr="008B6005">
        <w:rPr>
          <w:rFonts w:ascii="Times New Roman" w:eastAsia="Times New Roman" w:hAnsi="Times New Roman" w:cs="Times New Roman"/>
          <w:color w:val="333333"/>
          <w:sz w:val="24"/>
          <w:szCs w:val="24"/>
          <w:lang w:eastAsia="uk-UA"/>
        </w:rPr>
        <w:t> </w:t>
      </w:r>
    </w:p>
    <w:p w:rsidR="004C2FD0" w:rsidRPr="008B6005" w:rsidRDefault="004C2FD0" w:rsidP="004C2FD0">
      <w:pPr>
        <w:shd w:val="clear" w:color="auto" w:fill="FFFFFF"/>
        <w:spacing w:after="135" w:line="240" w:lineRule="auto"/>
        <w:jc w:val="center"/>
        <w:rPr>
          <w:rFonts w:ascii="Times New Roman" w:eastAsia="Times New Roman" w:hAnsi="Times New Roman" w:cs="Times New Roman"/>
          <w:color w:val="333333"/>
          <w:sz w:val="24"/>
          <w:szCs w:val="24"/>
          <w:lang w:eastAsia="uk-UA"/>
        </w:rPr>
      </w:pPr>
      <w:r w:rsidRPr="008B6005">
        <w:rPr>
          <w:rFonts w:ascii="Times New Roman" w:eastAsia="Times New Roman" w:hAnsi="Times New Roman" w:cs="Times New Roman"/>
          <w:b/>
          <w:bCs/>
          <w:color w:val="333333"/>
          <w:sz w:val="24"/>
          <w:szCs w:val="24"/>
          <w:lang w:eastAsia="uk-UA"/>
        </w:rPr>
        <w:t>Оцінка впливу на сферу інтересів громадян</w:t>
      </w:r>
    </w:p>
    <w:p w:rsidR="004C2FD0" w:rsidRPr="008B6005" w:rsidRDefault="004C2FD0" w:rsidP="004C2FD0">
      <w:pPr>
        <w:shd w:val="clear" w:color="auto" w:fill="FFFFFF"/>
        <w:spacing w:after="135" w:line="240" w:lineRule="auto"/>
        <w:jc w:val="center"/>
        <w:rPr>
          <w:rFonts w:ascii="Times New Roman" w:eastAsia="Times New Roman" w:hAnsi="Times New Roman" w:cs="Times New Roman"/>
          <w:color w:val="333333"/>
          <w:sz w:val="24"/>
          <w:szCs w:val="24"/>
          <w:lang w:eastAsia="uk-UA"/>
        </w:rPr>
      </w:pPr>
      <w:r w:rsidRPr="008B6005">
        <w:rPr>
          <w:rFonts w:ascii="Times New Roman" w:eastAsia="Times New Roman" w:hAnsi="Times New Roman" w:cs="Times New Roman"/>
          <w:color w:val="333333"/>
          <w:sz w:val="24"/>
          <w:szCs w:val="24"/>
          <w:lang w:eastAsia="uk-UA"/>
        </w:rPr>
        <w:t> </w:t>
      </w:r>
    </w:p>
    <w:tbl>
      <w:tblPr>
        <w:tblW w:w="964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983"/>
        <w:gridCol w:w="3831"/>
        <w:gridCol w:w="3831"/>
      </w:tblGrid>
      <w:tr w:rsidR="004C2FD0" w:rsidRPr="008B6005" w:rsidTr="008B6005">
        <w:tc>
          <w:tcPr>
            <w:tcW w:w="19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B6005"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8B6005">
              <w:rPr>
                <w:rFonts w:ascii="Times New Roman" w:eastAsia="Times New Roman" w:hAnsi="Times New Roman" w:cs="Times New Roman"/>
                <w:b/>
                <w:bCs/>
                <w:i/>
                <w:iCs/>
                <w:color w:val="333333"/>
                <w:sz w:val="24"/>
                <w:szCs w:val="24"/>
                <w:lang w:eastAsia="uk-UA"/>
              </w:rPr>
              <w:t>Вид альтернативи</w:t>
            </w:r>
          </w:p>
        </w:tc>
        <w:tc>
          <w:tcPr>
            <w:tcW w:w="38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B6005"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8B6005">
              <w:rPr>
                <w:rFonts w:ascii="Times New Roman" w:eastAsia="Times New Roman" w:hAnsi="Times New Roman" w:cs="Times New Roman"/>
                <w:b/>
                <w:bCs/>
                <w:i/>
                <w:iCs/>
                <w:color w:val="333333"/>
                <w:sz w:val="24"/>
                <w:szCs w:val="24"/>
                <w:lang w:eastAsia="uk-UA"/>
              </w:rPr>
              <w:t>Вигоди</w:t>
            </w:r>
          </w:p>
        </w:tc>
        <w:tc>
          <w:tcPr>
            <w:tcW w:w="38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B6005"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8B6005">
              <w:rPr>
                <w:rFonts w:ascii="Times New Roman" w:eastAsia="Times New Roman" w:hAnsi="Times New Roman" w:cs="Times New Roman"/>
                <w:b/>
                <w:bCs/>
                <w:i/>
                <w:iCs/>
                <w:color w:val="333333"/>
                <w:sz w:val="24"/>
                <w:szCs w:val="24"/>
                <w:lang w:eastAsia="uk-UA"/>
              </w:rPr>
              <w:t>Витрати</w:t>
            </w:r>
          </w:p>
        </w:tc>
      </w:tr>
      <w:tr w:rsidR="004C2FD0" w:rsidRPr="008B6005" w:rsidTr="008B6005">
        <w:tc>
          <w:tcPr>
            <w:tcW w:w="19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B6005"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8B6005">
              <w:rPr>
                <w:rFonts w:ascii="Times New Roman" w:eastAsia="Times New Roman" w:hAnsi="Times New Roman" w:cs="Times New Roman"/>
                <w:b/>
                <w:bCs/>
                <w:i/>
                <w:iCs/>
                <w:color w:val="333333"/>
                <w:sz w:val="24"/>
                <w:szCs w:val="24"/>
                <w:lang w:eastAsia="uk-UA"/>
              </w:rPr>
              <w:t>1</w:t>
            </w:r>
          </w:p>
        </w:tc>
        <w:tc>
          <w:tcPr>
            <w:tcW w:w="38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B6005"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8B6005">
              <w:rPr>
                <w:rFonts w:ascii="Times New Roman" w:eastAsia="Times New Roman" w:hAnsi="Times New Roman" w:cs="Times New Roman"/>
                <w:b/>
                <w:bCs/>
                <w:i/>
                <w:iCs/>
                <w:color w:val="333333"/>
                <w:sz w:val="24"/>
                <w:szCs w:val="24"/>
                <w:lang w:eastAsia="uk-UA"/>
              </w:rPr>
              <w:t>2</w:t>
            </w:r>
          </w:p>
        </w:tc>
        <w:tc>
          <w:tcPr>
            <w:tcW w:w="38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B6005"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8B6005">
              <w:rPr>
                <w:rFonts w:ascii="Times New Roman" w:eastAsia="Times New Roman" w:hAnsi="Times New Roman" w:cs="Times New Roman"/>
                <w:b/>
                <w:bCs/>
                <w:i/>
                <w:iCs/>
                <w:color w:val="333333"/>
                <w:sz w:val="24"/>
                <w:szCs w:val="24"/>
                <w:lang w:eastAsia="uk-UA"/>
              </w:rPr>
              <w:t>3</w:t>
            </w:r>
          </w:p>
        </w:tc>
      </w:tr>
      <w:tr w:rsidR="004C2FD0" w:rsidRPr="008B6005" w:rsidTr="008B6005">
        <w:trPr>
          <w:trHeight w:val="2164"/>
        </w:trPr>
        <w:tc>
          <w:tcPr>
            <w:tcW w:w="19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B6005" w:rsidRDefault="004C2FD0" w:rsidP="004C2FD0">
            <w:pPr>
              <w:spacing w:after="135" w:line="240" w:lineRule="auto"/>
              <w:rPr>
                <w:rFonts w:ascii="Times New Roman" w:eastAsia="Times New Roman" w:hAnsi="Times New Roman" w:cs="Times New Roman"/>
                <w:color w:val="333333"/>
                <w:sz w:val="24"/>
                <w:szCs w:val="24"/>
                <w:lang w:eastAsia="uk-UA"/>
              </w:rPr>
            </w:pPr>
            <w:r w:rsidRPr="008B6005">
              <w:rPr>
                <w:rFonts w:ascii="Times New Roman" w:eastAsia="Times New Roman" w:hAnsi="Times New Roman" w:cs="Times New Roman"/>
                <w:color w:val="333333"/>
                <w:sz w:val="24"/>
                <w:szCs w:val="24"/>
                <w:lang w:eastAsia="uk-UA"/>
              </w:rPr>
              <w:t>Альтернатива 1</w:t>
            </w:r>
          </w:p>
        </w:tc>
        <w:tc>
          <w:tcPr>
            <w:tcW w:w="38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B6005" w:rsidRDefault="004C2FD0" w:rsidP="004C2FD0">
            <w:pPr>
              <w:spacing w:after="135" w:line="240" w:lineRule="auto"/>
              <w:rPr>
                <w:rFonts w:ascii="Times New Roman" w:eastAsia="Times New Roman" w:hAnsi="Times New Roman" w:cs="Times New Roman"/>
                <w:color w:val="333333"/>
                <w:sz w:val="24"/>
                <w:szCs w:val="24"/>
                <w:lang w:eastAsia="uk-UA"/>
              </w:rPr>
            </w:pPr>
            <w:r w:rsidRPr="008B6005">
              <w:rPr>
                <w:rFonts w:ascii="Times New Roman" w:eastAsia="Times New Roman" w:hAnsi="Times New Roman" w:cs="Times New Roman"/>
                <w:color w:val="333333"/>
                <w:sz w:val="24"/>
                <w:szCs w:val="24"/>
                <w:lang w:eastAsia="uk-UA"/>
              </w:rPr>
              <w:t>Через відсутність регулювання, оскільки на законодавчому рівні не визначено розмір мінімальної ставки, громадяни не сплачують податок на нерухоме майно, відмінне від земельної ділянки</w:t>
            </w:r>
          </w:p>
        </w:tc>
        <w:tc>
          <w:tcPr>
            <w:tcW w:w="38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B6005" w:rsidRDefault="004C2FD0" w:rsidP="008B6005">
            <w:pPr>
              <w:spacing w:after="0" w:line="240" w:lineRule="auto"/>
              <w:rPr>
                <w:rFonts w:ascii="Times New Roman" w:eastAsia="Times New Roman" w:hAnsi="Times New Roman" w:cs="Times New Roman"/>
                <w:color w:val="333333"/>
                <w:sz w:val="24"/>
                <w:szCs w:val="24"/>
                <w:lang w:eastAsia="uk-UA"/>
              </w:rPr>
            </w:pPr>
            <w:r w:rsidRPr="008B6005">
              <w:rPr>
                <w:rFonts w:ascii="Times New Roman" w:eastAsia="Times New Roman" w:hAnsi="Times New Roman" w:cs="Times New Roman"/>
                <w:color w:val="333333"/>
                <w:sz w:val="24"/>
                <w:szCs w:val="24"/>
                <w:lang w:eastAsia="uk-UA"/>
              </w:rPr>
              <w:t>Витрати відсутні для громадян у частині сплати податку.</w:t>
            </w:r>
          </w:p>
          <w:p w:rsidR="004C2FD0" w:rsidRPr="008B6005" w:rsidRDefault="004C2FD0" w:rsidP="00DB2889">
            <w:pPr>
              <w:spacing w:after="0" w:line="240" w:lineRule="auto"/>
              <w:rPr>
                <w:rFonts w:ascii="Times New Roman" w:eastAsia="Times New Roman" w:hAnsi="Times New Roman" w:cs="Times New Roman"/>
                <w:color w:val="333333"/>
                <w:sz w:val="24"/>
                <w:szCs w:val="24"/>
                <w:lang w:eastAsia="uk-UA"/>
              </w:rPr>
            </w:pPr>
            <w:r w:rsidRPr="008B6005">
              <w:rPr>
                <w:rFonts w:ascii="Times New Roman" w:eastAsia="Times New Roman" w:hAnsi="Times New Roman" w:cs="Times New Roman"/>
                <w:color w:val="333333"/>
                <w:sz w:val="24"/>
                <w:szCs w:val="24"/>
                <w:lang w:eastAsia="uk-UA"/>
              </w:rPr>
              <w:t>Однак, відсутня можливість додатков</w:t>
            </w:r>
            <w:r w:rsidR="008B6005">
              <w:rPr>
                <w:rFonts w:ascii="Times New Roman" w:eastAsia="Times New Roman" w:hAnsi="Times New Roman" w:cs="Times New Roman"/>
                <w:color w:val="333333"/>
                <w:sz w:val="24"/>
                <w:szCs w:val="24"/>
                <w:lang w:eastAsia="uk-UA"/>
              </w:rPr>
              <w:t>их надходжень</w:t>
            </w:r>
            <w:r w:rsidRPr="008B6005">
              <w:rPr>
                <w:rFonts w:ascii="Times New Roman" w:eastAsia="Times New Roman" w:hAnsi="Times New Roman" w:cs="Times New Roman"/>
                <w:color w:val="333333"/>
                <w:sz w:val="24"/>
                <w:szCs w:val="24"/>
                <w:lang w:eastAsia="uk-UA"/>
              </w:rPr>
              <w:t xml:space="preserve"> </w:t>
            </w:r>
            <w:r w:rsidR="008B6005">
              <w:rPr>
                <w:rFonts w:ascii="Times New Roman" w:eastAsia="Times New Roman" w:hAnsi="Times New Roman" w:cs="Times New Roman"/>
                <w:color w:val="333333"/>
                <w:sz w:val="24"/>
                <w:szCs w:val="24"/>
                <w:lang w:eastAsia="uk-UA"/>
              </w:rPr>
              <w:t xml:space="preserve">до </w:t>
            </w:r>
            <w:r w:rsidRPr="008B6005">
              <w:rPr>
                <w:rFonts w:ascii="Times New Roman" w:eastAsia="Times New Roman" w:hAnsi="Times New Roman" w:cs="Times New Roman"/>
                <w:color w:val="333333"/>
                <w:sz w:val="24"/>
                <w:szCs w:val="24"/>
                <w:lang w:eastAsia="uk-UA"/>
              </w:rPr>
              <w:t xml:space="preserve"> бюджету </w:t>
            </w:r>
            <w:r w:rsidR="008B6005">
              <w:rPr>
                <w:rFonts w:ascii="Times New Roman" w:eastAsia="Times New Roman" w:hAnsi="Times New Roman" w:cs="Times New Roman"/>
                <w:color w:val="333333"/>
                <w:sz w:val="24"/>
                <w:szCs w:val="24"/>
                <w:lang w:eastAsia="uk-UA"/>
              </w:rPr>
              <w:t>громади</w:t>
            </w:r>
            <w:r w:rsidRPr="008B6005">
              <w:rPr>
                <w:rFonts w:ascii="Times New Roman" w:eastAsia="Times New Roman" w:hAnsi="Times New Roman" w:cs="Times New Roman"/>
                <w:color w:val="333333"/>
                <w:sz w:val="24"/>
                <w:szCs w:val="24"/>
                <w:lang w:eastAsia="uk-UA"/>
              </w:rPr>
              <w:t xml:space="preserve"> у розмірі </w:t>
            </w:r>
            <w:r w:rsidR="008B6005">
              <w:rPr>
                <w:rFonts w:ascii="Times New Roman" w:eastAsia="Times New Roman" w:hAnsi="Times New Roman" w:cs="Times New Roman"/>
                <w:color w:val="333333"/>
                <w:sz w:val="24"/>
                <w:szCs w:val="24"/>
                <w:lang w:eastAsia="uk-UA"/>
              </w:rPr>
              <w:t xml:space="preserve">49,0 </w:t>
            </w:r>
            <w:proofErr w:type="spellStart"/>
            <w:r w:rsidR="008B6005">
              <w:rPr>
                <w:rFonts w:ascii="Times New Roman" w:eastAsia="Times New Roman" w:hAnsi="Times New Roman" w:cs="Times New Roman"/>
                <w:color w:val="333333"/>
                <w:sz w:val="24"/>
                <w:szCs w:val="24"/>
                <w:lang w:eastAsia="uk-UA"/>
              </w:rPr>
              <w:t>млн</w:t>
            </w:r>
            <w:r w:rsidRPr="008B6005">
              <w:rPr>
                <w:rFonts w:ascii="Times New Roman" w:eastAsia="Times New Roman" w:hAnsi="Times New Roman" w:cs="Times New Roman"/>
                <w:color w:val="333333"/>
                <w:sz w:val="24"/>
                <w:szCs w:val="24"/>
                <w:lang w:eastAsia="uk-UA"/>
              </w:rPr>
              <w:t>.грн</w:t>
            </w:r>
            <w:proofErr w:type="spellEnd"/>
            <w:r w:rsidRPr="008B6005">
              <w:rPr>
                <w:rFonts w:ascii="Times New Roman" w:eastAsia="Times New Roman" w:hAnsi="Times New Roman" w:cs="Times New Roman"/>
                <w:color w:val="333333"/>
                <w:sz w:val="24"/>
                <w:szCs w:val="24"/>
                <w:lang w:eastAsia="uk-UA"/>
              </w:rPr>
              <w:t xml:space="preserve"> та, відповідно </w:t>
            </w:r>
            <w:r w:rsidR="00DB2889">
              <w:rPr>
                <w:rFonts w:ascii="Times New Roman" w:eastAsia="Times New Roman" w:hAnsi="Times New Roman" w:cs="Times New Roman"/>
                <w:color w:val="333333"/>
                <w:sz w:val="24"/>
                <w:szCs w:val="24"/>
                <w:lang w:eastAsia="uk-UA"/>
              </w:rPr>
              <w:t>з</w:t>
            </w:r>
            <w:r w:rsidRPr="008B6005">
              <w:rPr>
                <w:rFonts w:ascii="Times New Roman" w:eastAsia="Times New Roman" w:hAnsi="Times New Roman" w:cs="Times New Roman"/>
                <w:color w:val="333333"/>
                <w:sz w:val="24"/>
                <w:szCs w:val="24"/>
                <w:lang w:eastAsia="uk-UA"/>
              </w:rPr>
              <w:t>більшення фінансу</w:t>
            </w:r>
            <w:r w:rsidR="008E2F86">
              <w:rPr>
                <w:rFonts w:ascii="Times New Roman" w:eastAsia="Times New Roman" w:hAnsi="Times New Roman" w:cs="Times New Roman"/>
                <w:color w:val="333333"/>
                <w:sz w:val="24"/>
                <w:szCs w:val="24"/>
                <w:lang w:eastAsia="uk-UA"/>
              </w:rPr>
              <w:t>вання соціально важливих місцевих</w:t>
            </w:r>
            <w:r w:rsidRPr="008B6005">
              <w:rPr>
                <w:rFonts w:ascii="Times New Roman" w:eastAsia="Times New Roman" w:hAnsi="Times New Roman" w:cs="Times New Roman"/>
                <w:color w:val="333333"/>
                <w:sz w:val="24"/>
                <w:szCs w:val="24"/>
                <w:lang w:eastAsia="uk-UA"/>
              </w:rPr>
              <w:t xml:space="preserve"> цільових</w:t>
            </w:r>
            <w:r w:rsidR="008B6005">
              <w:rPr>
                <w:rFonts w:ascii="Times New Roman" w:eastAsia="Times New Roman" w:hAnsi="Times New Roman" w:cs="Times New Roman"/>
                <w:color w:val="333333"/>
                <w:sz w:val="24"/>
                <w:szCs w:val="24"/>
                <w:lang w:eastAsia="uk-UA"/>
              </w:rPr>
              <w:t xml:space="preserve"> </w:t>
            </w:r>
            <w:r w:rsidRPr="008B6005">
              <w:rPr>
                <w:rFonts w:ascii="Times New Roman" w:eastAsia="Times New Roman" w:hAnsi="Times New Roman" w:cs="Times New Roman"/>
                <w:color w:val="333333"/>
                <w:sz w:val="24"/>
                <w:szCs w:val="24"/>
                <w:lang w:eastAsia="uk-UA"/>
              </w:rPr>
              <w:t>програм</w:t>
            </w:r>
            <w:r w:rsidR="008B6005">
              <w:rPr>
                <w:rFonts w:ascii="Times New Roman" w:eastAsia="Times New Roman" w:hAnsi="Times New Roman" w:cs="Times New Roman"/>
                <w:color w:val="333333"/>
                <w:sz w:val="24"/>
                <w:szCs w:val="24"/>
                <w:lang w:eastAsia="uk-UA"/>
              </w:rPr>
              <w:t>.</w:t>
            </w:r>
            <w:r w:rsidRPr="008B6005">
              <w:rPr>
                <w:rFonts w:ascii="Times New Roman" w:eastAsia="Times New Roman" w:hAnsi="Times New Roman" w:cs="Times New Roman"/>
                <w:color w:val="333333"/>
                <w:sz w:val="24"/>
                <w:szCs w:val="24"/>
                <w:lang w:eastAsia="uk-UA"/>
              </w:rPr>
              <w:t> </w:t>
            </w:r>
          </w:p>
        </w:tc>
      </w:tr>
      <w:tr w:rsidR="004C2FD0" w:rsidRPr="004C2FD0" w:rsidTr="008B6005">
        <w:tc>
          <w:tcPr>
            <w:tcW w:w="19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15D99" w:rsidRDefault="004C2FD0" w:rsidP="004C2FD0">
            <w:pPr>
              <w:spacing w:after="135" w:line="240" w:lineRule="auto"/>
              <w:rPr>
                <w:rFonts w:ascii="Times New Roman" w:eastAsia="Times New Roman" w:hAnsi="Times New Roman" w:cs="Times New Roman"/>
                <w:color w:val="333333"/>
                <w:sz w:val="24"/>
                <w:szCs w:val="24"/>
                <w:lang w:eastAsia="uk-UA"/>
              </w:rPr>
            </w:pPr>
            <w:r w:rsidRPr="00815D99">
              <w:rPr>
                <w:rFonts w:ascii="Times New Roman" w:eastAsia="Times New Roman" w:hAnsi="Times New Roman" w:cs="Times New Roman"/>
                <w:color w:val="333333"/>
                <w:sz w:val="24"/>
                <w:szCs w:val="24"/>
                <w:lang w:eastAsia="uk-UA"/>
              </w:rPr>
              <w:t>Альтернатива 2</w:t>
            </w:r>
          </w:p>
        </w:tc>
        <w:tc>
          <w:tcPr>
            <w:tcW w:w="38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B6005" w:rsidRDefault="004C2FD0" w:rsidP="00815D99">
            <w:pPr>
              <w:spacing w:after="135" w:line="240" w:lineRule="auto"/>
              <w:rPr>
                <w:rFonts w:ascii="Times New Roman" w:eastAsia="Times New Roman" w:hAnsi="Times New Roman" w:cs="Times New Roman"/>
                <w:color w:val="333333"/>
                <w:sz w:val="24"/>
                <w:szCs w:val="24"/>
                <w:lang w:eastAsia="uk-UA"/>
              </w:rPr>
            </w:pPr>
            <w:r w:rsidRPr="008B6005">
              <w:rPr>
                <w:rFonts w:ascii="Times New Roman" w:eastAsia="Times New Roman" w:hAnsi="Times New Roman" w:cs="Times New Roman"/>
                <w:color w:val="333333"/>
                <w:sz w:val="24"/>
                <w:szCs w:val="24"/>
                <w:lang w:eastAsia="uk-UA"/>
              </w:rPr>
              <w:t xml:space="preserve">При збільшенні прогнозованого надходження до бюджету </w:t>
            </w:r>
            <w:r w:rsidR="00815D99">
              <w:rPr>
                <w:rFonts w:ascii="Times New Roman" w:eastAsia="Times New Roman" w:hAnsi="Times New Roman" w:cs="Times New Roman"/>
                <w:color w:val="333333"/>
                <w:sz w:val="24"/>
                <w:szCs w:val="24"/>
                <w:lang w:eastAsia="uk-UA"/>
              </w:rPr>
              <w:t>громади</w:t>
            </w:r>
            <w:r w:rsidRPr="008B6005">
              <w:rPr>
                <w:rFonts w:ascii="Times New Roman" w:eastAsia="Times New Roman" w:hAnsi="Times New Roman" w:cs="Times New Roman"/>
                <w:color w:val="333333"/>
                <w:sz w:val="24"/>
                <w:szCs w:val="24"/>
                <w:lang w:eastAsia="uk-UA"/>
              </w:rPr>
              <w:t>  є можливість збільшення видатків на фінансування соціально важ</w:t>
            </w:r>
            <w:r w:rsidR="008E2F86">
              <w:rPr>
                <w:rFonts w:ascii="Times New Roman" w:eastAsia="Times New Roman" w:hAnsi="Times New Roman" w:cs="Times New Roman"/>
                <w:color w:val="333333"/>
                <w:sz w:val="24"/>
                <w:szCs w:val="24"/>
                <w:lang w:eastAsia="uk-UA"/>
              </w:rPr>
              <w:t>ливих місцевих</w:t>
            </w:r>
            <w:r w:rsidR="00815D99">
              <w:rPr>
                <w:rFonts w:ascii="Times New Roman" w:eastAsia="Times New Roman" w:hAnsi="Times New Roman" w:cs="Times New Roman"/>
                <w:color w:val="333333"/>
                <w:sz w:val="24"/>
                <w:szCs w:val="24"/>
                <w:lang w:eastAsia="uk-UA"/>
              </w:rPr>
              <w:t xml:space="preserve"> цільових програм. </w:t>
            </w:r>
            <w:r w:rsidRPr="008B6005">
              <w:rPr>
                <w:rFonts w:ascii="Times New Roman" w:eastAsia="Times New Roman" w:hAnsi="Times New Roman" w:cs="Times New Roman"/>
                <w:color w:val="333333"/>
                <w:sz w:val="24"/>
                <w:szCs w:val="24"/>
                <w:lang w:eastAsia="uk-UA"/>
              </w:rPr>
              <w:t>При цьому втрачається інвестиційна привабливість, що позначається на зменшенні рівня підприємницької активності, відповідного скорочення ринку праці та скороченні відповідних надходжень, що в сумі не компенсує зростання від даного податку.</w:t>
            </w:r>
          </w:p>
        </w:tc>
        <w:tc>
          <w:tcPr>
            <w:tcW w:w="38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B6005" w:rsidRDefault="004C2FD0" w:rsidP="004C2FD0">
            <w:pPr>
              <w:spacing w:after="135" w:line="240" w:lineRule="auto"/>
              <w:rPr>
                <w:rFonts w:ascii="Times New Roman" w:eastAsia="Times New Roman" w:hAnsi="Times New Roman" w:cs="Times New Roman"/>
                <w:color w:val="333333"/>
                <w:sz w:val="24"/>
                <w:szCs w:val="24"/>
                <w:lang w:eastAsia="uk-UA"/>
              </w:rPr>
            </w:pPr>
            <w:r w:rsidRPr="008B6005">
              <w:rPr>
                <w:rFonts w:ascii="Times New Roman" w:eastAsia="Times New Roman" w:hAnsi="Times New Roman" w:cs="Times New Roman"/>
                <w:color w:val="333333"/>
                <w:sz w:val="24"/>
                <w:szCs w:val="24"/>
                <w:lang w:eastAsia="uk-UA"/>
              </w:rPr>
              <w:t>Витрати громадян на сплату податку за максимальн</w:t>
            </w:r>
            <w:r w:rsidR="00815D99">
              <w:rPr>
                <w:rFonts w:ascii="Times New Roman" w:eastAsia="Times New Roman" w:hAnsi="Times New Roman" w:cs="Times New Roman"/>
                <w:color w:val="333333"/>
                <w:sz w:val="24"/>
                <w:szCs w:val="24"/>
                <w:lang w:eastAsia="uk-UA"/>
              </w:rPr>
              <w:t xml:space="preserve">им </w:t>
            </w:r>
            <w:r w:rsidRPr="008B6005">
              <w:rPr>
                <w:rFonts w:ascii="Times New Roman" w:eastAsia="Times New Roman" w:hAnsi="Times New Roman" w:cs="Times New Roman"/>
                <w:color w:val="333333"/>
                <w:sz w:val="24"/>
                <w:szCs w:val="24"/>
                <w:lang w:eastAsia="uk-UA"/>
              </w:rPr>
              <w:t>розміром його ставки, 1,5%.</w:t>
            </w:r>
          </w:p>
          <w:p w:rsidR="004C2FD0" w:rsidRPr="008B6005" w:rsidRDefault="004C2FD0" w:rsidP="004C2FD0">
            <w:pPr>
              <w:spacing w:after="135" w:line="240" w:lineRule="auto"/>
              <w:rPr>
                <w:rFonts w:ascii="Times New Roman" w:eastAsia="Times New Roman" w:hAnsi="Times New Roman" w:cs="Times New Roman"/>
                <w:color w:val="333333"/>
                <w:sz w:val="24"/>
                <w:szCs w:val="24"/>
                <w:lang w:eastAsia="uk-UA"/>
              </w:rPr>
            </w:pPr>
            <w:r w:rsidRPr="008B6005">
              <w:rPr>
                <w:rFonts w:ascii="Times New Roman" w:eastAsia="Times New Roman" w:hAnsi="Times New Roman" w:cs="Times New Roman"/>
                <w:color w:val="333333"/>
                <w:sz w:val="24"/>
                <w:szCs w:val="24"/>
                <w:lang w:eastAsia="uk-UA"/>
              </w:rPr>
              <w:t xml:space="preserve">За 1 кв. м житлової та нежитлової нерухомості, що перебуває у власності фізичних осіб, сплачується </w:t>
            </w:r>
            <w:proofErr w:type="spellStart"/>
            <w:r w:rsidRPr="008B6005">
              <w:rPr>
                <w:rFonts w:ascii="Times New Roman" w:eastAsia="Times New Roman" w:hAnsi="Times New Roman" w:cs="Times New Roman"/>
                <w:color w:val="333333"/>
                <w:sz w:val="24"/>
                <w:szCs w:val="24"/>
                <w:lang w:eastAsia="uk-UA"/>
              </w:rPr>
              <w:t>податоку</w:t>
            </w:r>
            <w:proofErr w:type="spellEnd"/>
            <w:r w:rsidRPr="008B6005">
              <w:rPr>
                <w:rFonts w:ascii="Times New Roman" w:eastAsia="Times New Roman" w:hAnsi="Times New Roman" w:cs="Times New Roman"/>
                <w:color w:val="333333"/>
                <w:sz w:val="24"/>
                <w:szCs w:val="24"/>
                <w:lang w:eastAsia="uk-UA"/>
              </w:rPr>
              <w:t xml:space="preserve"> сумі 75,05 грн. Зростає рівень невдоволеності та незабезпеченості громадян.</w:t>
            </w:r>
          </w:p>
        </w:tc>
      </w:tr>
      <w:tr w:rsidR="004C2FD0" w:rsidRPr="004C2FD0" w:rsidTr="00815D99">
        <w:trPr>
          <w:trHeight w:val="4396"/>
        </w:trPr>
        <w:tc>
          <w:tcPr>
            <w:tcW w:w="19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15D99"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815D99">
              <w:rPr>
                <w:rFonts w:ascii="Times New Roman" w:eastAsia="Times New Roman" w:hAnsi="Times New Roman" w:cs="Times New Roman"/>
                <w:color w:val="333333"/>
                <w:sz w:val="24"/>
                <w:szCs w:val="24"/>
                <w:lang w:eastAsia="uk-UA"/>
              </w:rPr>
              <w:lastRenderedPageBreak/>
              <w:t>Альтернатива 3</w:t>
            </w:r>
          </w:p>
        </w:tc>
        <w:tc>
          <w:tcPr>
            <w:tcW w:w="38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B6005" w:rsidRDefault="004C2FD0" w:rsidP="004C2FD0">
            <w:pPr>
              <w:spacing w:after="135" w:line="240" w:lineRule="auto"/>
              <w:rPr>
                <w:rFonts w:ascii="Times New Roman" w:eastAsia="Times New Roman" w:hAnsi="Times New Roman" w:cs="Times New Roman"/>
                <w:color w:val="333333"/>
                <w:sz w:val="24"/>
                <w:szCs w:val="24"/>
                <w:lang w:eastAsia="uk-UA"/>
              </w:rPr>
            </w:pPr>
            <w:r w:rsidRPr="008B6005">
              <w:rPr>
                <w:rFonts w:ascii="Times New Roman" w:eastAsia="Times New Roman" w:hAnsi="Times New Roman" w:cs="Times New Roman"/>
                <w:color w:val="333333"/>
                <w:sz w:val="24"/>
                <w:szCs w:val="24"/>
                <w:lang w:eastAsia="uk-UA"/>
              </w:rPr>
              <w:t> Альтернатива може бути прийнятною</w:t>
            </w:r>
          </w:p>
        </w:tc>
        <w:tc>
          <w:tcPr>
            <w:tcW w:w="38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B6005" w:rsidRDefault="004C2FD0" w:rsidP="00DB2889">
            <w:pPr>
              <w:spacing w:after="135" w:line="240" w:lineRule="auto"/>
              <w:rPr>
                <w:rFonts w:ascii="Times New Roman" w:eastAsia="Times New Roman" w:hAnsi="Times New Roman" w:cs="Times New Roman"/>
                <w:color w:val="333333"/>
                <w:sz w:val="24"/>
                <w:szCs w:val="24"/>
                <w:lang w:eastAsia="uk-UA"/>
              </w:rPr>
            </w:pPr>
            <w:r w:rsidRPr="008B6005">
              <w:rPr>
                <w:rFonts w:ascii="Times New Roman" w:eastAsia="Times New Roman" w:hAnsi="Times New Roman" w:cs="Times New Roman"/>
                <w:color w:val="333333"/>
                <w:sz w:val="24"/>
                <w:szCs w:val="24"/>
                <w:lang w:eastAsia="uk-UA"/>
              </w:rPr>
              <w:t>Відповідно до законодавства України у сфері податкових відносин сплата податку фізичними особами з урахуванням запропонованого регулювання буде здійснюватися в другій половині 2022 року після отримання ними відповідних  повідомлень-рішень від податкових органів. Але фіскальна служба не має змоги розподіляти зони нарахування без зазначення чітких меж зон в місті, тому зростає рівень неузгодженості нарахувань, що затримує сплату податку громадянами.</w:t>
            </w:r>
          </w:p>
        </w:tc>
      </w:tr>
      <w:tr w:rsidR="004C2FD0" w:rsidRPr="004C2FD0" w:rsidTr="00815D99">
        <w:trPr>
          <w:trHeight w:val="2535"/>
        </w:trPr>
        <w:tc>
          <w:tcPr>
            <w:tcW w:w="19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15D99" w:rsidRDefault="004C2FD0" w:rsidP="004C2FD0">
            <w:pPr>
              <w:spacing w:after="135" w:line="240" w:lineRule="auto"/>
              <w:rPr>
                <w:rFonts w:ascii="Times New Roman" w:eastAsia="Times New Roman" w:hAnsi="Times New Roman" w:cs="Times New Roman"/>
                <w:color w:val="333333"/>
                <w:sz w:val="24"/>
                <w:szCs w:val="24"/>
                <w:lang w:eastAsia="uk-UA"/>
              </w:rPr>
            </w:pPr>
            <w:r w:rsidRPr="00815D99">
              <w:rPr>
                <w:rFonts w:ascii="Times New Roman" w:eastAsia="Times New Roman" w:hAnsi="Times New Roman" w:cs="Times New Roman"/>
                <w:color w:val="333333"/>
                <w:sz w:val="24"/>
                <w:szCs w:val="24"/>
                <w:lang w:eastAsia="uk-UA"/>
              </w:rPr>
              <w:t>Альтернатива 4</w:t>
            </w:r>
          </w:p>
        </w:tc>
        <w:tc>
          <w:tcPr>
            <w:tcW w:w="38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15D99" w:rsidRDefault="004C2FD0" w:rsidP="00815D99">
            <w:pPr>
              <w:spacing w:after="135" w:line="240" w:lineRule="auto"/>
              <w:rPr>
                <w:rFonts w:ascii="Times New Roman" w:eastAsia="Times New Roman" w:hAnsi="Times New Roman" w:cs="Times New Roman"/>
                <w:color w:val="333333"/>
                <w:sz w:val="24"/>
                <w:szCs w:val="24"/>
                <w:lang w:eastAsia="uk-UA"/>
              </w:rPr>
            </w:pPr>
            <w:r w:rsidRPr="00815D99">
              <w:rPr>
                <w:rFonts w:ascii="Times New Roman" w:eastAsia="Times New Roman" w:hAnsi="Times New Roman" w:cs="Times New Roman"/>
                <w:color w:val="333333"/>
                <w:sz w:val="24"/>
                <w:szCs w:val="24"/>
                <w:lang w:eastAsia="uk-UA"/>
              </w:rPr>
              <w:t>Альтернатива в повній мірі враховує інтереси громади у наповненні бюджету, крім того диференціація за типом нерухомості дозволяє врахувати фактичний економічний стан в галузях підприємницької діяльності, що дозволяє максимально узгодити питання сплати податку та наповнення бюджету</w:t>
            </w:r>
            <w:r w:rsidR="00815D99">
              <w:rPr>
                <w:rFonts w:ascii="Times New Roman" w:eastAsia="Times New Roman" w:hAnsi="Times New Roman" w:cs="Times New Roman"/>
                <w:color w:val="333333"/>
                <w:sz w:val="24"/>
                <w:szCs w:val="24"/>
                <w:lang w:eastAsia="uk-UA"/>
              </w:rPr>
              <w:t xml:space="preserve"> громади.</w:t>
            </w:r>
          </w:p>
        </w:tc>
        <w:tc>
          <w:tcPr>
            <w:tcW w:w="38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15D99" w:rsidRDefault="004C2FD0" w:rsidP="004C2FD0">
            <w:pPr>
              <w:spacing w:after="135" w:line="240" w:lineRule="auto"/>
              <w:rPr>
                <w:rFonts w:ascii="Times New Roman" w:eastAsia="Times New Roman" w:hAnsi="Times New Roman" w:cs="Times New Roman"/>
                <w:color w:val="333333"/>
                <w:sz w:val="24"/>
                <w:szCs w:val="24"/>
                <w:lang w:eastAsia="uk-UA"/>
              </w:rPr>
            </w:pPr>
            <w:r w:rsidRPr="00815D99">
              <w:rPr>
                <w:rFonts w:ascii="Times New Roman" w:eastAsia="Times New Roman" w:hAnsi="Times New Roman" w:cs="Times New Roman"/>
                <w:color w:val="333333"/>
                <w:sz w:val="24"/>
                <w:szCs w:val="24"/>
                <w:lang w:eastAsia="uk-UA"/>
              </w:rPr>
              <w:t>При сплаті податку не виділяється окрема зональність, ставки податку диференціюються за типом нерухомості.</w:t>
            </w:r>
          </w:p>
          <w:p w:rsidR="004C2FD0" w:rsidRPr="00815D99" w:rsidRDefault="008E2F86" w:rsidP="008E2F86">
            <w:pPr>
              <w:spacing w:after="135" w:line="240"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 У б</w:t>
            </w:r>
            <w:r w:rsidR="004C2FD0" w:rsidRPr="00815D99">
              <w:rPr>
                <w:rFonts w:ascii="Times New Roman" w:eastAsia="Times New Roman" w:hAnsi="Times New Roman" w:cs="Times New Roman"/>
                <w:color w:val="333333"/>
                <w:sz w:val="24"/>
                <w:szCs w:val="24"/>
                <w:lang w:eastAsia="uk-UA"/>
              </w:rPr>
              <w:t xml:space="preserve">юджет надійдуть доходи у розмірі </w:t>
            </w:r>
            <w:r w:rsidR="00815D99">
              <w:rPr>
                <w:rFonts w:ascii="Times New Roman" w:eastAsia="Times New Roman" w:hAnsi="Times New Roman" w:cs="Times New Roman"/>
                <w:color w:val="333333"/>
                <w:sz w:val="24"/>
                <w:szCs w:val="24"/>
                <w:lang w:eastAsia="uk-UA"/>
              </w:rPr>
              <w:t>49,0</w:t>
            </w:r>
            <w:r w:rsidR="004C2FD0" w:rsidRPr="00815D99">
              <w:rPr>
                <w:rFonts w:ascii="Times New Roman" w:eastAsia="Times New Roman" w:hAnsi="Times New Roman" w:cs="Times New Roman"/>
                <w:color w:val="333333"/>
                <w:sz w:val="24"/>
                <w:szCs w:val="24"/>
                <w:lang w:eastAsia="uk-UA"/>
              </w:rPr>
              <w:t xml:space="preserve"> </w:t>
            </w:r>
            <w:proofErr w:type="spellStart"/>
            <w:r w:rsidR="00815D99">
              <w:rPr>
                <w:rFonts w:ascii="Times New Roman" w:eastAsia="Times New Roman" w:hAnsi="Times New Roman" w:cs="Times New Roman"/>
                <w:color w:val="333333"/>
                <w:sz w:val="24"/>
                <w:szCs w:val="24"/>
                <w:lang w:eastAsia="uk-UA"/>
              </w:rPr>
              <w:t>млн</w:t>
            </w:r>
            <w:r w:rsidR="004C2FD0" w:rsidRPr="00815D99">
              <w:rPr>
                <w:rFonts w:ascii="Times New Roman" w:eastAsia="Times New Roman" w:hAnsi="Times New Roman" w:cs="Times New Roman"/>
                <w:color w:val="333333"/>
                <w:sz w:val="24"/>
                <w:szCs w:val="24"/>
                <w:lang w:eastAsia="uk-UA"/>
              </w:rPr>
              <w:t>.грн</w:t>
            </w:r>
            <w:proofErr w:type="spellEnd"/>
            <w:r w:rsidR="004C2FD0" w:rsidRPr="00815D99">
              <w:rPr>
                <w:rFonts w:ascii="Times New Roman" w:eastAsia="Times New Roman" w:hAnsi="Times New Roman" w:cs="Times New Roman"/>
                <w:color w:val="333333"/>
                <w:sz w:val="24"/>
                <w:szCs w:val="24"/>
                <w:lang w:eastAsia="uk-UA"/>
              </w:rPr>
              <w:t>.</w:t>
            </w:r>
          </w:p>
        </w:tc>
      </w:tr>
    </w:tbl>
    <w:p w:rsidR="004C2FD0" w:rsidRPr="00815D99" w:rsidRDefault="004C2FD0" w:rsidP="004C2FD0">
      <w:pPr>
        <w:shd w:val="clear" w:color="auto" w:fill="FFFFFF"/>
        <w:spacing w:after="135" w:line="240" w:lineRule="auto"/>
        <w:jc w:val="center"/>
        <w:rPr>
          <w:rFonts w:ascii="Times New Roman" w:eastAsia="Times New Roman" w:hAnsi="Times New Roman" w:cs="Times New Roman"/>
          <w:color w:val="333333"/>
          <w:sz w:val="24"/>
          <w:szCs w:val="24"/>
          <w:lang w:eastAsia="uk-UA"/>
        </w:rPr>
      </w:pPr>
      <w:r w:rsidRPr="00815D99">
        <w:rPr>
          <w:rFonts w:ascii="Times New Roman" w:eastAsia="Times New Roman" w:hAnsi="Times New Roman" w:cs="Times New Roman"/>
          <w:color w:val="333333"/>
          <w:sz w:val="24"/>
          <w:szCs w:val="24"/>
          <w:lang w:eastAsia="uk-UA"/>
        </w:rPr>
        <w:t> </w:t>
      </w:r>
    </w:p>
    <w:p w:rsidR="004C2FD0" w:rsidRPr="00815D99" w:rsidRDefault="004C2FD0" w:rsidP="004C2FD0">
      <w:pPr>
        <w:shd w:val="clear" w:color="auto" w:fill="FFFFFF"/>
        <w:spacing w:after="135" w:line="240" w:lineRule="auto"/>
        <w:jc w:val="center"/>
        <w:rPr>
          <w:rFonts w:ascii="Times New Roman" w:eastAsia="Times New Roman" w:hAnsi="Times New Roman" w:cs="Times New Roman"/>
          <w:color w:val="333333"/>
          <w:sz w:val="24"/>
          <w:szCs w:val="24"/>
          <w:lang w:eastAsia="uk-UA"/>
        </w:rPr>
      </w:pPr>
      <w:r w:rsidRPr="00815D99">
        <w:rPr>
          <w:rFonts w:ascii="Times New Roman" w:eastAsia="Times New Roman" w:hAnsi="Times New Roman" w:cs="Times New Roman"/>
          <w:b/>
          <w:bCs/>
          <w:color w:val="333333"/>
          <w:sz w:val="24"/>
          <w:szCs w:val="24"/>
          <w:lang w:eastAsia="uk-UA"/>
        </w:rPr>
        <w:t>Оцінка впливу на сферу інтересів суб’єктів господарювання</w:t>
      </w:r>
    </w:p>
    <w:p w:rsidR="004C2FD0" w:rsidRPr="00815D99" w:rsidRDefault="004C2FD0" w:rsidP="004C2FD0">
      <w:pPr>
        <w:shd w:val="clear" w:color="auto" w:fill="FFFFFF"/>
        <w:spacing w:after="135" w:line="240" w:lineRule="auto"/>
        <w:rPr>
          <w:rFonts w:ascii="Times New Roman" w:eastAsia="Times New Roman" w:hAnsi="Times New Roman" w:cs="Times New Roman"/>
          <w:color w:val="333333"/>
          <w:sz w:val="24"/>
          <w:szCs w:val="24"/>
          <w:lang w:eastAsia="uk-UA"/>
        </w:rPr>
      </w:pPr>
      <w:r w:rsidRPr="00815D99">
        <w:rPr>
          <w:rFonts w:ascii="Times New Roman" w:eastAsia="Times New Roman" w:hAnsi="Times New Roman" w:cs="Times New Roman"/>
          <w:color w:val="333333"/>
          <w:sz w:val="24"/>
          <w:szCs w:val="24"/>
          <w:lang w:eastAsia="uk-UA"/>
        </w:rPr>
        <w:t xml:space="preserve">Розрахункова кількість суб’єктів господарювання, на яких поширюється дія регуляторного акта, складає </w:t>
      </w:r>
      <w:r w:rsidR="00815D99">
        <w:rPr>
          <w:rFonts w:ascii="Times New Roman" w:eastAsia="Times New Roman" w:hAnsi="Times New Roman" w:cs="Times New Roman"/>
          <w:color w:val="333333"/>
          <w:sz w:val="24"/>
          <w:szCs w:val="24"/>
          <w:lang w:eastAsia="uk-UA"/>
        </w:rPr>
        <w:t>912</w:t>
      </w:r>
      <w:r w:rsidRPr="00815D99">
        <w:rPr>
          <w:rFonts w:ascii="Times New Roman" w:eastAsia="Times New Roman" w:hAnsi="Times New Roman" w:cs="Times New Roman"/>
          <w:color w:val="333333"/>
          <w:sz w:val="24"/>
          <w:szCs w:val="24"/>
          <w:lang w:eastAsia="uk-UA"/>
        </w:rPr>
        <w:t xml:space="preserve"> осіб:</w:t>
      </w:r>
    </w:p>
    <w:p w:rsidR="004C2FD0" w:rsidRPr="004C2FD0" w:rsidRDefault="004C2FD0" w:rsidP="004C2FD0">
      <w:pPr>
        <w:shd w:val="clear" w:color="auto" w:fill="FFFFFF"/>
        <w:spacing w:after="135" w:line="240" w:lineRule="auto"/>
        <w:rPr>
          <w:rFonts w:ascii="Helvetica" w:eastAsia="Times New Roman" w:hAnsi="Helvetica" w:cs="Helvetica"/>
          <w:color w:val="333333"/>
          <w:sz w:val="20"/>
          <w:szCs w:val="20"/>
          <w:lang w:eastAsia="uk-UA"/>
        </w:rPr>
      </w:pPr>
      <w:r w:rsidRPr="004C2FD0">
        <w:rPr>
          <w:rFonts w:ascii="Helvetica" w:eastAsia="Times New Roman" w:hAnsi="Helvetica" w:cs="Helvetica"/>
          <w:color w:val="333333"/>
          <w:sz w:val="20"/>
          <w:szCs w:val="20"/>
          <w:lang w:eastAsia="uk-UA"/>
        </w:rPr>
        <w:t> </w:t>
      </w:r>
    </w:p>
    <w:tbl>
      <w:tblPr>
        <w:tblW w:w="49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250"/>
        <w:gridCol w:w="1103"/>
        <w:gridCol w:w="1261"/>
        <w:gridCol w:w="880"/>
        <w:gridCol w:w="967"/>
        <w:gridCol w:w="1001"/>
      </w:tblGrid>
      <w:tr w:rsidR="004C2FD0" w:rsidRPr="004C2FD0" w:rsidTr="004C2FD0">
        <w:tc>
          <w:tcPr>
            <w:tcW w:w="9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15D99"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815D99">
              <w:rPr>
                <w:rFonts w:ascii="Times New Roman" w:eastAsia="Times New Roman" w:hAnsi="Times New Roman" w:cs="Times New Roman"/>
                <w:b/>
                <w:bCs/>
                <w:i/>
                <w:iCs/>
                <w:color w:val="333333"/>
                <w:sz w:val="24"/>
                <w:szCs w:val="24"/>
                <w:lang w:eastAsia="uk-UA"/>
              </w:rPr>
              <w:t>Показник</w:t>
            </w:r>
          </w:p>
        </w:tc>
        <w:tc>
          <w:tcPr>
            <w:tcW w:w="19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15D99"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815D99">
              <w:rPr>
                <w:rFonts w:ascii="Times New Roman" w:eastAsia="Times New Roman" w:hAnsi="Times New Roman" w:cs="Times New Roman"/>
                <w:b/>
                <w:bCs/>
                <w:i/>
                <w:iCs/>
                <w:color w:val="333333"/>
                <w:sz w:val="24"/>
                <w:szCs w:val="24"/>
                <w:lang w:eastAsia="uk-UA"/>
              </w:rPr>
              <w:t>Великі</w:t>
            </w:r>
          </w:p>
        </w:tc>
        <w:tc>
          <w:tcPr>
            <w:tcW w:w="2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15D99"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815D99">
              <w:rPr>
                <w:rFonts w:ascii="Times New Roman" w:eastAsia="Times New Roman" w:hAnsi="Times New Roman" w:cs="Times New Roman"/>
                <w:b/>
                <w:bCs/>
                <w:i/>
                <w:iCs/>
                <w:color w:val="333333"/>
                <w:sz w:val="24"/>
                <w:szCs w:val="24"/>
                <w:lang w:eastAsia="uk-UA"/>
              </w:rPr>
              <w:t>Середні</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15D99"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815D99">
              <w:rPr>
                <w:rFonts w:ascii="Times New Roman" w:eastAsia="Times New Roman" w:hAnsi="Times New Roman" w:cs="Times New Roman"/>
                <w:b/>
                <w:bCs/>
                <w:i/>
                <w:iCs/>
                <w:color w:val="333333"/>
                <w:sz w:val="24"/>
                <w:szCs w:val="24"/>
                <w:lang w:eastAsia="uk-UA"/>
              </w:rPr>
              <w:t>Малі</w:t>
            </w:r>
          </w:p>
        </w:tc>
        <w:tc>
          <w:tcPr>
            <w:tcW w:w="1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15D99"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815D99">
              <w:rPr>
                <w:rFonts w:ascii="Times New Roman" w:eastAsia="Times New Roman" w:hAnsi="Times New Roman" w:cs="Times New Roman"/>
                <w:b/>
                <w:bCs/>
                <w:i/>
                <w:iCs/>
                <w:color w:val="333333"/>
                <w:sz w:val="24"/>
                <w:szCs w:val="24"/>
                <w:lang w:eastAsia="uk-UA"/>
              </w:rPr>
              <w:t>Мікро</w:t>
            </w:r>
          </w:p>
        </w:tc>
        <w:tc>
          <w:tcPr>
            <w:tcW w:w="17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15D99"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815D99">
              <w:rPr>
                <w:rFonts w:ascii="Times New Roman" w:eastAsia="Times New Roman" w:hAnsi="Times New Roman" w:cs="Times New Roman"/>
                <w:b/>
                <w:bCs/>
                <w:i/>
                <w:iCs/>
                <w:color w:val="333333"/>
                <w:sz w:val="24"/>
                <w:szCs w:val="24"/>
                <w:lang w:eastAsia="uk-UA"/>
              </w:rPr>
              <w:t>Разом</w:t>
            </w:r>
          </w:p>
        </w:tc>
      </w:tr>
      <w:tr w:rsidR="004C2FD0" w:rsidRPr="004C2FD0" w:rsidTr="00815D99">
        <w:trPr>
          <w:trHeight w:val="838"/>
        </w:trPr>
        <w:tc>
          <w:tcPr>
            <w:tcW w:w="9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15D99" w:rsidRDefault="004C2FD0" w:rsidP="004C2FD0">
            <w:pPr>
              <w:spacing w:after="135" w:line="240" w:lineRule="auto"/>
              <w:rPr>
                <w:rFonts w:ascii="Times New Roman" w:eastAsia="Times New Roman" w:hAnsi="Times New Roman" w:cs="Times New Roman"/>
                <w:color w:val="333333"/>
                <w:sz w:val="24"/>
                <w:szCs w:val="24"/>
                <w:lang w:eastAsia="uk-UA"/>
              </w:rPr>
            </w:pPr>
            <w:r w:rsidRPr="00815D99">
              <w:rPr>
                <w:rFonts w:ascii="Times New Roman" w:eastAsia="Times New Roman" w:hAnsi="Times New Roman" w:cs="Times New Roman"/>
                <w:color w:val="333333"/>
                <w:sz w:val="24"/>
                <w:szCs w:val="24"/>
                <w:lang w:eastAsia="uk-UA"/>
              </w:rPr>
              <w:t>Розрахункова кількість суб’єктів господарювання, що підпадають під дію регулювання,  одиниць*</w:t>
            </w:r>
          </w:p>
        </w:tc>
        <w:tc>
          <w:tcPr>
            <w:tcW w:w="19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15D99" w:rsidRDefault="00815D99" w:rsidP="00815D99">
            <w:pPr>
              <w:spacing w:after="135"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8</w:t>
            </w:r>
          </w:p>
        </w:tc>
        <w:tc>
          <w:tcPr>
            <w:tcW w:w="2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15D99"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815D99">
              <w:rPr>
                <w:rFonts w:ascii="Times New Roman" w:eastAsia="Times New Roman" w:hAnsi="Times New Roman" w:cs="Times New Roman"/>
                <w:color w:val="333333"/>
                <w:sz w:val="24"/>
                <w:szCs w:val="24"/>
                <w:lang w:eastAsia="uk-UA"/>
              </w:rPr>
              <w:t>2</w:t>
            </w:r>
            <w:r w:rsidR="00815D99">
              <w:rPr>
                <w:rFonts w:ascii="Times New Roman" w:eastAsia="Times New Roman" w:hAnsi="Times New Roman" w:cs="Times New Roman"/>
                <w:color w:val="333333"/>
                <w:sz w:val="24"/>
                <w:szCs w:val="24"/>
                <w:lang w:eastAsia="uk-UA"/>
              </w:rPr>
              <w:t>07</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15D99"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815D99">
              <w:rPr>
                <w:rFonts w:ascii="Times New Roman" w:eastAsia="Times New Roman" w:hAnsi="Times New Roman" w:cs="Times New Roman"/>
                <w:color w:val="333333"/>
                <w:sz w:val="24"/>
                <w:szCs w:val="24"/>
                <w:lang w:eastAsia="uk-UA"/>
              </w:rPr>
              <w:t> </w:t>
            </w:r>
          </w:p>
          <w:p w:rsidR="004C2FD0" w:rsidRPr="00815D99" w:rsidRDefault="00815D99" w:rsidP="004C2FD0">
            <w:pPr>
              <w:spacing w:after="135"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697</w:t>
            </w:r>
          </w:p>
          <w:p w:rsidR="004C2FD0" w:rsidRPr="00815D99"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815D99">
              <w:rPr>
                <w:rFonts w:ascii="Times New Roman" w:eastAsia="Times New Roman" w:hAnsi="Times New Roman" w:cs="Times New Roman"/>
                <w:color w:val="333333"/>
                <w:sz w:val="24"/>
                <w:szCs w:val="24"/>
                <w:lang w:eastAsia="uk-UA"/>
              </w:rPr>
              <w:t> </w:t>
            </w:r>
          </w:p>
        </w:tc>
        <w:tc>
          <w:tcPr>
            <w:tcW w:w="1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15D99" w:rsidRDefault="004C2FD0" w:rsidP="00815D99">
            <w:pPr>
              <w:spacing w:after="135" w:line="240" w:lineRule="auto"/>
              <w:jc w:val="center"/>
              <w:rPr>
                <w:rFonts w:ascii="Times New Roman" w:eastAsia="Times New Roman" w:hAnsi="Times New Roman" w:cs="Times New Roman"/>
                <w:color w:val="333333"/>
                <w:sz w:val="24"/>
                <w:szCs w:val="24"/>
                <w:lang w:eastAsia="uk-UA"/>
              </w:rPr>
            </w:pPr>
            <w:r w:rsidRPr="00815D99">
              <w:rPr>
                <w:rFonts w:ascii="Times New Roman" w:eastAsia="Times New Roman" w:hAnsi="Times New Roman" w:cs="Times New Roman"/>
                <w:color w:val="333333"/>
                <w:sz w:val="24"/>
                <w:szCs w:val="24"/>
                <w:lang w:eastAsia="uk-UA"/>
              </w:rPr>
              <w:t> </w:t>
            </w:r>
            <w:r w:rsidR="00815D99">
              <w:rPr>
                <w:rFonts w:ascii="Times New Roman" w:eastAsia="Times New Roman" w:hAnsi="Times New Roman" w:cs="Times New Roman"/>
                <w:color w:val="333333"/>
                <w:sz w:val="24"/>
                <w:szCs w:val="24"/>
                <w:lang w:eastAsia="uk-UA"/>
              </w:rPr>
              <w:t>-</w:t>
            </w:r>
          </w:p>
        </w:tc>
        <w:tc>
          <w:tcPr>
            <w:tcW w:w="17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15D99"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815D99">
              <w:rPr>
                <w:rFonts w:ascii="Times New Roman" w:eastAsia="Times New Roman" w:hAnsi="Times New Roman" w:cs="Times New Roman"/>
                <w:color w:val="333333"/>
                <w:sz w:val="24"/>
                <w:szCs w:val="24"/>
                <w:lang w:eastAsia="uk-UA"/>
              </w:rPr>
              <w:t> </w:t>
            </w:r>
          </w:p>
          <w:p w:rsidR="004C2FD0" w:rsidRPr="00815D99" w:rsidRDefault="00815D99" w:rsidP="004C2FD0">
            <w:pPr>
              <w:spacing w:after="135"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912</w:t>
            </w:r>
          </w:p>
          <w:p w:rsidR="004C2FD0" w:rsidRPr="00815D99"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815D99">
              <w:rPr>
                <w:rFonts w:ascii="Times New Roman" w:eastAsia="Times New Roman" w:hAnsi="Times New Roman" w:cs="Times New Roman"/>
                <w:color w:val="333333"/>
                <w:sz w:val="24"/>
                <w:szCs w:val="24"/>
                <w:lang w:eastAsia="uk-UA"/>
              </w:rPr>
              <w:t> </w:t>
            </w:r>
          </w:p>
        </w:tc>
      </w:tr>
      <w:tr w:rsidR="004C2FD0" w:rsidRPr="004C2FD0" w:rsidTr="004C2FD0">
        <w:tc>
          <w:tcPr>
            <w:tcW w:w="9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15D99" w:rsidRDefault="004C2FD0" w:rsidP="004C2FD0">
            <w:pPr>
              <w:spacing w:after="135" w:line="240" w:lineRule="auto"/>
              <w:rPr>
                <w:rFonts w:ascii="Times New Roman" w:eastAsia="Times New Roman" w:hAnsi="Times New Roman" w:cs="Times New Roman"/>
                <w:color w:val="333333"/>
                <w:sz w:val="24"/>
                <w:szCs w:val="24"/>
                <w:lang w:eastAsia="uk-UA"/>
              </w:rPr>
            </w:pPr>
            <w:r w:rsidRPr="00815D99">
              <w:rPr>
                <w:rFonts w:ascii="Times New Roman" w:eastAsia="Times New Roman" w:hAnsi="Times New Roman" w:cs="Times New Roman"/>
                <w:color w:val="333333"/>
                <w:sz w:val="24"/>
                <w:szCs w:val="24"/>
                <w:lang w:eastAsia="uk-UA"/>
              </w:rPr>
              <w:t>Питома вага групи в загальній кількості, відсотків</w:t>
            </w:r>
          </w:p>
        </w:tc>
        <w:tc>
          <w:tcPr>
            <w:tcW w:w="19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15D99" w:rsidRDefault="00815D99" w:rsidP="004C2FD0">
            <w:pPr>
              <w:spacing w:after="135"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0,9</w:t>
            </w:r>
          </w:p>
        </w:tc>
        <w:tc>
          <w:tcPr>
            <w:tcW w:w="2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15D99" w:rsidRDefault="00815D99" w:rsidP="004C2FD0">
            <w:pPr>
              <w:spacing w:after="135"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22,7</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15D99" w:rsidRDefault="00815D99" w:rsidP="004C2FD0">
            <w:pPr>
              <w:spacing w:after="135"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76,7</w:t>
            </w:r>
          </w:p>
        </w:tc>
        <w:tc>
          <w:tcPr>
            <w:tcW w:w="1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15D99" w:rsidRDefault="00815D99" w:rsidP="00815D99">
            <w:pPr>
              <w:spacing w:after="135"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w:t>
            </w:r>
          </w:p>
        </w:tc>
        <w:tc>
          <w:tcPr>
            <w:tcW w:w="17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15D99"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815D99">
              <w:rPr>
                <w:rFonts w:ascii="Times New Roman" w:eastAsia="Times New Roman" w:hAnsi="Times New Roman" w:cs="Times New Roman"/>
                <w:color w:val="333333"/>
                <w:sz w:val="24"/>
                <w:szCs w:val="24"/>
                <w:lang w:eastAsia="uk-UA"/>
              </w:rPr>
              <w:t>100</w:t>
            </w:r>
          </w:p>
        </w:tc>
      </w:tr>
    </w:tbl>
    <w:p w:rsidR="004C2FD0" w:rsidRPr="00DB2889" w:rsidRDefault="004C2FD0" w:rsidP="004C2FD0">
      <w:pPr>
        <w:shd w:val="clear" w:color="auto" w:fill="FFFFFF"/>
        <w:spacing w:after="135" w:line="240" w:lineRule="auto"/>
        <w:jc w:val="right"/>
        <w:rPr>
          <w:rFonts w:ascii="Times New Roman" w:eastAsia="Times New Roman" w:hAnsi="Times New Roman" w:cs="Times New Roman"/>
          <w:color w:val="333333"/>
          <w:sz w:val="20"/>
          <w:szCs w:val="20"/>
          <w:lang w:eastAsia="uk-UA"/>
        </w:rPr>
      </w:pPr>
      <w:r w:rsidRPr="00DB2889">
        <w:rPr>
          <w:rFonts w:ascii="Times New Roman" w:eastAsia="Times New Roman" w:hAnsi="Times New Roman" w:cs="Times New Roman"/>
          <w:color w:val="333333"/>
          <w:sz w:val="20"/>
          <w:szCs w:val="20"/>
          <w:lang w:eastAsia="uk-UA"/>
        </w:rPr>
        <w:t> </w:t>
      </w:r>
    </w:p>
    <w:tbl>
      <w:tblPr>
        <w:tblW w:w="4923"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511"/>
        <w:gridCol w:w="3640"/>
        <w:gridCol w:w="3355"/>
      </w:tblGrid>
      <w:tr w:rsidR="004C2FD0" w:rsidRPr="00DB2889" w:rsidTr="00815D99">
        <w:tc>
          <w:tcPr>
            <w:tcW w:w="25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DB2889" w:rsidRDefault="004C2FD0" w:rsidP="004C2FD0">
            <w:pPr>
              <w:spacing w:after="135" w:line="240" w:lineRule="auto"/>
              <w:jc w:val="center"/>
              <w:rPr>
                <w:rFonts w:ascii="Times New Roman" w:eastAsia="Times New Roman" w:hAnsi="Times New Roman" w:cs="Times New Roman"/>
                <w:color w:val="333333"/>
                <w:sz w:val="20"/>
                <w:szCs w:val="20"/>
                <w:lang w:eastAsia="uk-UA"/>
              </w:rPr>
            </w:pPr>
            <w:r w:rsidRPr="00DB2889">
              <w:rPr>
                <w:rFonts w:ascii="Times New Roman" w:eastAsia="Times New Roman" w:hAnsi="Times New Roman" w:cs="Times New Roman"/>
                <w:b/>
                <w:bCs/>
                <w:i/>
                <w:iCs/>
                <w:color w:val="333333"/>
                <w:sz w:val="20"/>
                <w:szCs w:val="20"/>
                <w:lang w:eastAsia="uk-UA"/>
              </w:rPr>
              <w:t>Вид альтернативи</w:t>
            </w:r>
          </w:p>
        </w:tc>
        <w:tc>
          <w:tcPr>
            <w:tcW w:w="3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DB2889" w:rsidRDefault="004C2FD0" w:rsidP="004C2FD0">
            <w:pPr>
              <w:spacing w:after="135" w:line="240" w:lineRule="auto"/>
              <w:jc w:val="center"/>
              <w:rPr>
                <w:rFonts w:ascii="Times New Roman" w:eastAsia="Times New Roman" w:hAnsi="Times New Roman" w:cs="Times New Roman"/>
                <w:color w:val="333333"/>
                <w:sz w:val="20"/>
                <w:szCs w:val="20"/>
                <w:lang w:eastAsia="uk-UA"/>
              </w:rPr>
            </w:pPr>
            <w:r w:rsidRPr="00DB2889">
              <w:rPr>
                <w:rFonts w:ascii="Times New Roman" w:eastAsia="Times New Roman" w:hAnsi="Times New Roman" w:cs="Times New Roman"/>
                <w:b/>
                <w:bCs/>
                <w:i/>
                <w:iCs/>
                <w:color w:val="333333"/>
                <w:sz w:val="20"/>
                <w:szCs w:val="20"/>
                <w:lang w:eastAsia="uk-UA"/>
              </w:rPr>
              <w:t>Вигоди</w:t>
            </w:r>
          </w:p>
        </w:tc>
        <w:tc>
          <w:tcPr>
            <w:tcW w:w="3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DB2889" w:rsidRDefault="004C2FD0" w:rsidP="004C2FD0">
            <w:pPr>
              <w:spacing w:after="135" w:line="240" w:lineRule="auto"/>
              <w:jc w:val="center"/>
              <w:rPr>
                <w:rFonts w:ascii="Times New Roman" w:eastAsia="Times New Roman" w:hAnsi="Times New Roman" w:cs="Times New Roman"/>
                <w:color w:val="333333"/>
                <w:sz w:val="20"/>
                <w:szCs w:val="20"/>
                <w:lang w:eastAsia="uk-UA"/>
              </w:rPr>
            </w:pPr>
            <w:r w:rsidRPr="00DB2889">
              <w:rPr>
                <w:rFonts w:ascii="Times New Roman" w:eastAsia="Times New Roman" w:hAnsi="Times New Roman" w:cs="Times New Roman"/>
                <w:b/>
                <w:bCs/>
                <w:i/>
                <w:iCs/>
                <w:color w:val="333333"/>
                <w:sz w:val="20"/>
                <w:szCs w:val="20"/>
                <w:lang w:eastAsia="uk-UA"/>
              </w:rPr>
              <w:t>Витрати</w:t>
            </w:r>
          </w:p>
        </w:tc>
      </w:tr>
      <w:tr w:rsidR="004C2FD0" w:rsidRPr="004C2FD0" w:rsidTr="00815D99">
        <w:tc>
          <w:tcPr>
            <w:tcW w:w="25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4C2FD0" w:rsidRDefault="004C2FD0" w:rsidP="004C2FD0">
            <w:pPr>
              <w:spacing w:after="135" w:line="240" w:lineRule="auto"/>
              <w:jc w:val="center"/>
              <w:rPr>
                <w:rFonts w:ascii="Helvetica" w:eastAsia="Times New Roman" w:hAnsi="Helvetica" w:cs="Helvetica"/>
                <w:color w:val="333333"/>
                <w:sz w:val="20"/>
                <w:szCs w:val="20"/>
                <w:lang w:eastAsia="uk-UA"/>
              </w:rPr>
            </w:pPr>
            <w:r w:rsidRPr="004C2FD0">
              <w:rPr>
                <w:rFonts w:ascii="Helvetica" w:eastAsia="Times New Roman" w:hAnsi="Helvetica" w:cs="Helvetica"/>
                <w:b/>
                <w:bCs/>
                <w:i/>
                <w:iCs/>
                <w:color w:val="333333"/>
                <w:sz w:val="20"/>
                <w:szCs w:val="20"/>
                <w:lang w:eastAsia="uk-UA"/>
              </w:rPr>
              <w:t>1</w:t>
            </w:r>
          </w:p>
        </w:tc>
        <w:tc>
          <w:tcPr>
            <w:tcW w:w="3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4C2FD0" w:rsidRDefault="004C2FD0" w:rsidP="004C2FD0">
            <w:pPr>
              <w:spacing w:after="135" w:line="240" w:lineRule="auto"/>
              <w:jc w:val="center"/>
              <w:rPr>
                <w:rFonts w:ascii="Helvetica" w:eastAsia="Times New Roman" w:hAnsi="Helvetica" w:cs="Helvetica"/>
                <w:color w:val="333333"/>
                <w:sz w:val="20"/>
                <w:szCs w:val="20"/>
                <w:lang w:eastAsia="uk-UA"/>
              </w:rPr>
            </w:pPr>
            <w:r w:rsidRPr="004C2FD0">
              <w:rPr>
                <w:rFonts w:ascii="Helvetica" w:eastAsia="Times New Roman" w:hAnsi="Helvetica" w:cs="Helvetica"/>
                <w:b/>
                <w:bCs/>
                <w:i/>
                <w:iCs/>
                <w:color w:val="333333"/>
                <w:sz w:val="20"/>
                <w:szCs w:val="20"/>
                <w:lang w:eastAsia="uk-UA"/>
              </w:rPr>
              <w:t>2</w:t>
            </w:r>
          </w:p>
        </w:tc>
        <w:tc>
          <w:tcPr>
            <w:tcW w:w="3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4C2FD0" w:rsidRDefault="004C2FD0" w:rsidP="004C2FD0">
            <w:pPr>
              <w:spacing w:after="135" w:line="240" w:lineRule="auto"/>
              <w:jc w:val="center"/>
              <w:rPr>
                <w:rFonts w:ascii="Helvetica" w:eastAsia="Times New Roman" w:hAnsi="Helvetica" w:cs="Helvetica"/>
                <w:color w:val="333333"/>
                <w:sz w:val="20"/>
                <w:szCs w:val="20"/>
                <w:lang w:eastAsia="uk-UA"/>
              </w:rPr>
            </w:pPr>
            <w:r w:rsidRPr="004C2FD0">
              <w:rPr>
                <w:rFonts w:ascii="Helvetica" w:eastAsia="Times New Roman" w:hAnsi="Helvetica" w:cs="Helvetica"/>
                <w:b/>
                <w:bCs/>
                <w:i/>
                <w:iCs/>
                <w:color w:val="333333"/>
                <w:sz w:val="20"/>
                <w:szCs w:val="20"/>
                <w:lang w:eastAsia="uk-UA"/>
              </w:rPr>
              <w:t>3</w:t>
            </w:r>
          </w:p>
        </w:tc>
      </w:tr>
      <w:tr w:rsidR="004C2FD0" w:rsidRPr="004C2FD0" w:rsidTr="00815D99">
        <w:tc>
          <w:tcPr>
            <w:tcW w:w="25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15D99" w:rsidRDefault="004C2FD0" w:rsidP="00815D99">
            <w:pPr>
              <w:spacing w:after="135" w:line="240" w:lineRule="auto"/>
              <w:jc w:val="both"/>
              <w:rPr>
                <w:rFonts w:ascii="Times New Roman" w:eastAsia="Times New Roman" w:hAnsi="Times New Roman" w:cs="Times New Roman"/>
                <w:color w:val="333333"/>
                <w:sz w:val="24"/>
                <w:szCs w:val="24"/>
                <w:lang w:eastAsia="uk-UA"/>
              </w:rPr>
            </w:pPr>
            <w:r w:rsidRPr="00815D99">
              <w:rPr>
                <w:rFonts w:ascii="Times New Roman" w:eastAsia="Times New Roman" w:hAnsi="Times New Roman" w:cs="Times New Roman"/>
                <w:color w:val="333333"/>
                <w:sz w:val="24"/>
                <w:szCs w:val="24"/>
                <w:lang w:eastAsia="uk-UA"/>
              </w:rPr>
              <w:t>Альтернатива 1</w:t>
            </w:r>
          </w:p>
        </w:tc>
        <w:tc>
          <w:tcPr>
            <w:tcW w:w="3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15D99" w:rsidRDefault="004C2FD0" w:rsidP="00815D99">
            <w:pPr>
              <w:spacing w:after="135" w:line="240" w:lineRule="auto"/>
              <w:jc w:val="both"/>
              <w:rPr>
                <w:rFonts w:ascii="Times New Roman" w:eastAsia="Times New Roman" w:hAnsi="Times New Roman" w:cs="Times New Roman"/>
                <w:color w:val="333333"/>
                <w:sz w:val="24"/>
                <w:szCs w:val="24"/>
                <w:lang w:eastAsia="uk-UA"/>
              </w:rPr>
            </w:pPr>
            <w:r w:rsidRPr="00815D99">
              <w:rPr>
                <w:rFonts w:ascii="Times New Roman" w:eastAsia="Times New Roman" w:hAnsi="Times New Roman" w:cs="Times New Roman"/>
                <w:color w:val="333333"/>
                <w:sz w:val="24"/>
                <w:szCs w:val="24"/>
                <w:lang w:eastAsia="uk-UA"/>
              </w:rPr>
              <w:t xml:space="preserve">Унеможливлюється обрахування та сплата </w:t>
            </w:r>
            <w:proofErr w:type="spellStart"/>
            <w:r w:rsidRPr="00815D99">
              <w:rPr>
                <w:rFonts w:ascii="Times New Roman" w:eastAsia="Times New Roman" w:hAnsi="Times New Roman" w:cs="Times New Roman"/>
                <w:color w:val="333333"/>
                <w:sz w:val="24"/>
                <w:szCs w:val="24"/>
                <w:lang w:eastAsia="uk-UA"/>
              </w:rPr>
              <w:t>податку.Оскільки</w:t>
            </w:r>
            <w:proofErr w:type="spellEnd"/>
            <w:r w:rsidRPr="00815D99">
              <w:rPr>
                <w:rFonts w:ascii="Times New Roman" w:eastAsia="Times New Roman" w:hAnsi="Times New Roman" w:cs="Times New Roman"/>
                <w:color w:val="333333"/>
                <w:sz w:val="24"/>
                <w:szCs w:val="24"/>
                <w:lang w:eastAsia="uk-UA"/>
              </w:rPr>
              <w:t xml:space="preserve"> на законодавчому рівні не визначено розміру мінімальної ставки. Через відсутність регулювання, яким визначаються розміри ставок податку на 2021 рік, вигоди для </w:t>
            </w:r>
            <w:r w:rsidR="00815D99">
              <w:rPr>
                <w:rFonts w:ascii="Times New Roman" w:eastAsia="Times New Roman" w:hAnsi="Times New Roman" w:cs="Times New Roman"/>
                <w:color w:val="333333"/>
                <w:sz w:val="24"/>
                <w:szCs w:val="24"/>
                <w:lang w:eastAsia="uk-UA"/>
              </w:rPr>
              <w:t>912</w:t>
            </w:r>
            <w:r w:rsidRPr="00815D99">
              <w:rPr>
                <w:rFonts w:ascii="Times New Roman" w:eastAsia="Times New Roman" w:hAnsi="Times New Roman" w:cs="Times New Roman"/>
                <w:color w:val="333333"/>
                <w:sz w:val="24"/>
                <w:szCs w:val="24"/>
                <w:lang w:eastAsia="uk-UA"/>
              </w:rPr>
              <w:t xml:space="preserve"> платників податку</w:t>
            </w:r>
          </w:p>
        </w:tc>
        <w:tc>
          <w:tcPr>
            <w:tcW w:w="3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815D99" w:rsidRDefault="004C2FD0" w:rsidP="00DB2889">
            <w:pPr>
              <w:spacing w:after="135" w:line="240" w:lineRule="auto"/>
              <w:jc w:val="both"/>
              <w:rPr>
                <w:rFonts w:ascii="Times New Roman" w:eastAsia="Times New Roman" w:hAnsi="Times New Roman" w:cs="Times New Roman"/>
                <w:color w:val="333333"/>
                <w:sz w:val="24"/>
                <w:szCs w:val="24"/>
                <w:lang w:eastAsia="uk-UA"/>
              </w:rPr>
            </w:pPr>
            <w:r w:rsidRPr="00815D99">
              <w:rPr>
                <w:rFonts w:ascii="Times New Roman" w:eastAsia="Times New Roman" w:hAnsi="Times New Roman" w:cs="Times New Roman"/>
                <w:color w:val="333333"/>
                <w:sz w:val="24"/>
                <w:szCs w:val="24"/>
                <w:lang w:eastAsia="uk-UA"/>
              </w:rPr>
              <w:t>Відсутні витрати</w:t>
            </w:r>
            <w:r w:rsidR="00815D99">
              <w:rPr>
                <w:rFonts w:ascii="Times New Roman" w:eastAsia="Times New Roman" w:hAnsi="Times New Roman" w:cs="Times New Roman"/>
                <w:color w:val="333333"/>
                <w:sz w:val="24"/>
                <w:szCs w:val="24"/>
                <w:lang w:eastAsia="uk-UA"/>
              </w:rPr>
              <w:t xml:space="preserve"> </w:t>
            </w:r>
            <w:r w:rsidRPr="00815D99">
              <w:rPr>
                <w:rFonts w:ascii="Times New Roman" w:eastAsia="Times New Roman" w:hAnsi="Times New Roman" w:cs="Times New Roman"/>
                <w:color w:val="333333"/>
                <w:sz w:val="24"/>
                <w:szCs w:val="24"/>
                <w:lang w:eastAsia="uk-UA"/>
              </w:rPr>
              <w:t xml:space="preserve">в частині сплати податку. Тому відсутня можливість збільшення видатків у розмірі </w:t>
            </w:r>
            <w:r w:rsidR="00815D99">
              <w:rPr>
                <w:rFonts w:ascii="Times New Roman" w:eastAsia="Times New Roman" w:hAnsi="Times New Roman" w:cs="Times New Roman"/>
                <w:color w:val="333333"/>
                <w:sz w:val="24"/>
                <w:szCs w:val="24"/>
                <w:lang w:eastAsia="uk-UA"/>
              </w:rPr>
              <w:t xml:space="preserve">49,0 </w:t>
            </w:r>
            <w:proofErr w:type="spellStart"/>
            <w:r w:rsidR="00815D99">
              <w:rPr>
                <w:rFonts w:ascii="Times New Roman" w:eastAsia="Times New Roman" w:hAnsi="Times New Roman" w:cs="Times New Roman"/>
                <w:color w:val="333333"/>
                <w:sz w:val="24"/>
                <w:szCs w:val="24"/>
                <w:lang w:eastAsia="uk-UA"/>
              </w:rPr>
              <w:t>млн</w:t>
            </w:r>
            <w:r w:rsidRPr="00815D99">
              <w:rPr>
                <w:rFonts w:ascii="Times New Roman" w:eastAsia="Times New Roman" w:hAnsi="Times New Roman" w:cs="Times New Roman"/>
                <w:color w:val="333333"/>
                <w:sz w:val="24"/>
                <w:szCs w:val="24"/>
                <w:lang w:eastAsia="uk-UA"/>
              </w:rPr>
              <w:t>.грн</w:t>
            </w:r>
            <w:proofErr w:type="spellEnd"/>
            <w:r w:rsidRPr="00815D99">
              <w:rPr>
                <w:rFonts w:ascii="Times New Roman" w:eastAsia="Times New Roman" w:hAnsi="Times New Roman" w:cs="Times New Roman"/>
                <w:color w:val="333333"/>
                <w:sz w:val="24"/>
                <w:szCs w:val="24"/>
                <w:lang w:eastAsia="uk-UA"/>
              </w:rPr>
              <w:t xml:space="preserve"> для фінансування соціально важливих цільових програм</w:t>
            </w:r>
            <w:r w:rsidR="00C603D6">
              <w:rPr>
                <w:rFonts w:ascii="Times New Roman" w:eastAsia="Times New Roman" w:hAnsi="Times New Roman" w:cs="Times New Roman"/>
                <w:color w:val="333333"/>
                <w:sz w:val="24"/>
                <w:szCs w:val="24"/>
                <w:lang w:eastAsia="uk-UA"/>
              </w:rPr>
              <w:t>.</w:t>
            </w:r>
            <w:r w:rsidRPr="00815D99">
              <w:rPr>
                <w:rFonts w:ascii="Times New Roman" w:eastAsia="Times New Roman" w:hAnsi="Times New Roman" w:cs="Times New Roman"/>
                <w:color w:val="333333"/>
                <w:sz w:val="24"/>
                <w:szCs w:val="24"/>
                <w:lang w:eastAsia="uk-UA"/>
              </w:rPr>
              <w:t> </w:t>
            </w:r>
          </w:p>
        </w:tc>
      </w:tr>
      <w:tr w:rsidR="004C2FD0" w:rsidRPr="004C2FD0" w:rsidTr="00C603D6">
        <w:trPr>
          <w:trHeight w:val="2273"/>
        </w:trPr>
        <w:tc>
          <w:tcPr>
            <w:tcW w:w="25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C603D6" w:rsidRDefault="004C2FD0" w:rsidP="004C2FD0">
            <w:pPr>
              <w:spacing w:after="135" w:line="240" w:lineRule="auto"/>
              <w:rPr>
                <w:rFonts w:ascii="Times New Roman" w:eastAsia="Times New Roman" w:hAnsi="Times New Roman" w:cs="Times New Roman"/>
                <w:color w:val="333333"/>
                <w:sz w:val="24"/>
                <w:szCs w:val="24"/>
                <w:lang w:eastAsia="uk-UA"/>
              </w:rPr>
            </w:pPr>
            <w:r w:rsidRPr="00C603D6">
              <w:rPr>
                <w:rFonts w:ascii="Times New Roman" w:eastAsia="Times New Roman" w:hAnsi="Times New Roman" w:cs="Times New Roman"/>
                <w:color w:val="333333"/>
                <w:sz w:val="24"/>
                <w:szCs w:val="24"/>
                <w:lang w:eastAsia="uk-UA"/>
              </w:rPr>
              <w:lastRenderedPageBreak/>
              <w:t>Альтернатива 2</w:t>
            </w:r>
          </w:p>
        </w:tc>
        <w:tc>
          <w:tcPr>
            <w:tcW w:w="3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C603D6" w:rsidRDefault="004C2FD0" w:rsidP="008E2F86">
            <w:pPr>
              <w:spacing w:after="135" w:line="240" w:lineRule="auto"/>
              <w:rPr>
                <w:rFonts w:ascii="Times New Roman" w:eastAsia="Times New Roman" w:hAnsi="Times New Roman" w:cs="Times New Roman"/>
                <w:color w:val="333333"/>
                <w:sz w:val="24"/>
                <w:szCs w:val="24"/>
                <w:lang w:eastAsia="uk-UA"/>
              </w:rPr>
            </w:pPr>
            <w:r w:rsidRPr="00C603D6">
              <w:rPr>
                <w:rFonts w:ascii="Times New Roman" w:eastAsia="Times New Roman" w:hAnsi="Times New Roman" w:cs="Times New Roman"/>
                <w:color w:val="333333"/>
                <w:sz w:val="24"/>
                <w:szCs w:val="24"/>
                <w:lang w:eastAsia="uk-UA"/>
              </w:rPr>
              <w:t xml:space="preserve">Відсутні в частині сплати податку, оскільки збільшується податкове навантаження, розмір ставки податку. Але, при цьому є можливість збільшення видатків </w:t>
            </w:r>
            <w:r w:rsidR="00C603D6">
              <w:rPr>
                <w:rFonts w:ascii="Times New Roman" w:eastAsia="Times New Roman" w:hAnsi="Times New Roman" w:cs="Times New Roman"/>
                <w:color w:val="333333"/>
                <w:sz w:val="24"/>
                <w:szCs w:val="24"/>
                <w:lang w:eastAsia="uk-UA"/>
              </w:rPr>
              <w:t>н</w:t>
            </w:r>
            <w:r w:rsidR="008E2F86">
              <w:rPr>
                <w:rFonts w:ascii="Times New Roman" w:eastAsia="Times New Roman" w:hAnsi="Times New Roman" w:cs="Times New Roman"/>
                <w:color w:val="333333"/>
                <w:sz w:val="24"/>
                <w:szCs w:val="24"/>
                <w:lang w:eastAsia="uk-UA"/>
              </w:rPr>
              <w:t>а 49,0млн</w:t>
            </w:r>
            <w:r w:rsidRPr="00C603D6">
              <w:rPr>
                <w:rFonts w:ascii="Times New Roman" w:eastAsia="Times New Roman" w:hAnsi="Times New Roman" w:cs="Times New Roman"/>
                <w:color w:val="333333"/>
                <w:sz w:val="24"/>
                <w:szCs w:val="24"/>
                <w:lang w:eastAsia="uk-UA"/>
              </w:rPr>
              <w:t>. грн. для фінансування соціально важливих цільових програм</w:t>
            </w:r>
            <w:r w:rsidR="00C603D6">
              <w:rPr>
                <w:rFonts w:ascii="Times New Roman" w:eastAsia="Times New Roman" w:hAnsi="Times New Roman" w:cs="Times New Roman"/>
                <w:color w:val="333333"/>
                <w:sz w:val="24"/>
                <w:szCs w:val="24"/>
                <w:lang w:eastAsia="uk-UA"/>
              </w:rPr>
              <w:t>.</w:t>
            </w:r>
          </w:p>
        </w:tc>
        <w:tc>
          <w:tcPr>
            <w:tcW w:w="3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C603D6" w:rsidRDefault="004C2FD0" w:rsidP="00DB2889">
            <w:pPr>
              <w:spacing w:after="135" w:line="240" w:lineRule="auto"/>
              <w:rPr>
                <w:rFonts w:ascii="Times New Roman" w:eastAsia="Times New Roman" w:hAnsi="Times New Roman" w:cs="Times New Roman"/>
                <w:color w:val="333333"/>
                <w:sz w:val="24"/>
                <w:szCs w:val="24"/>
                <w:lang w:eastAsia="uk-UA"/>
              </w:rPr>
            </w:pPr>
            <w:r w:rsidRPr="00C603D6">
              <w:rPr>
                <w:rFonts w:ascii="Times New Roman" w:eastAsia="Times New Roman" w:hAnsi="Times New Roman" w:cs="Times New Roman"/>
                <w:color w:val="333333"/>
                <w:sz w:val="24"/>
                <w:szCs w:val="24"/>
                <w:lang w:eastAsia="uk-UA"/>
              </w:rPr>
              <w:t>Часові витрати на отримання інформації щодо змін у оподаткуванні, інше;прямі матеріальні витрати на сплату податку суб’єктами господарювання, які підпадають під дію регулювання. </w:t>
            </w:r>
          </w:p>
        </w:tc>
      </w:tr>
      <w:tr w:rsidR="004C2FD0" w:rsidRPr="004C2FD0" w:rsidTr="00815D99">
        <w:tc>
          <w:tcPr>
            <w:tcW w:w="25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C603D6" w:rsidRDefault="004C2FD0" w:rsidP="004C2FD0">
            <w:pPr>
              <w:spacing w:after="135" w:line="240" w:lineRule="auto"/>
              <w:rPr>
                <w:rFonts w:ascii="Times New Roman" w:eastAsia="Times New Roman" w:hAnsi="Times New Roman" w:cs="Times New Roman"/>
                <w:color w:val="333333"/>
                <w:sz w:val="24"/>
                <w:szCs w:val="24"/>
                <w:lang w:eastAsia="uk-UA"/>
              </w:rPr>
            </w:pPr>
            <w:r w:rsidRPr="00C603D6">
              <w:rPr>
                <w:rFonts w:ascii="Times New Roman" w:eastAsia="Times New Roman" w:hAnsi="Times New Roman" w:cs="Times New Roman"/>
                <w:color w:val="333333"/>
                <w:sz w:val="24"/>
                <w:szCs w:val="24"/>
                <w:lang w:eastAsia="uk-UA"/>
              </w:rPr>
              <w:t>Альтернатива 3</w:t>
            </w:r>
          </w:p>
        </w:tc>
        <w:tc>
          <w:tcPr>
            <w:tcW w:w="3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C603D6" w:rsidRDefault="004C2FD0" w:rsidP="00DB2889">
            <w:pPr>
              <w:spacing w:after="135" w:line="240" w:lineRule="auto"/>
              <w:rPr>
                <w:rFonts w:ascii="Times New Roman" w:eastAsia="Times New Roman" w:hAnsi="Times New Roman" w:cs="Times New Roman"/>
                <w:color w:val="333333"/>
                <w:sz w:val="24"/>
                <w:szCs w:val="24"/>
                <w:lang w:eastAsia="uk-UA"/>
              </w:rPr>
            </w:pPr>
            <w:r w:rsidRPr="00C603D6">
              <w:rPr>
                <w:rFonts w:ascii="Times New Roman" w:eastAsia="Times New Roman" w:hAnsi="Times New Roman" w:cs="Times New Roman"/>
                <w:color w:val="333333"/>
                <w:sz w:val="24"/>
                <w:szCs w:val="24"/>
                <w:lang w:eastAsia="uk-UA"/>
              </w:rPr>
              <w:t xml:space="preserve">Альтернатива може бути прийнятною. Забезпечується прозорість механізму справляння </w:t>
            </w:r>
            <w:proofErr w:type="spellStart"/>
            <w:r w:rsidRPr="00C603D6">
              <w:rPr>
                <w:rFonts w:ascii="Times New Roman" w:eastAsia="Times New Roman" w:hAnsi="Times New Roman" w:cs="Times New Roman"/>
                <w:color w:val="333333"/>
                <w:sz w:val="24"/>
                <w:szCs w:val="24"/>
                <w:lang w:eastAsia="uk-UA"/>
              </w:rPr>
              <w:t>податку.Ставки</w:t>
            </w:r>
            <w:proofErr w:type="spellEnd"/>
            <w:r w:rsidRPr="00C603D6">
              <w:rPr>
                <w:rFonts w:ascii="Times New Roman" w:eastAsia="Times New Roman" w:hAnsi="Times New Roman" w:cs="Times New Roman"/>
                <w:color w:val="333333"/>
                <w:sz w:val="24"/>
                <w:szCs w:val="24"/>
                <w:lang w:eastAsia="uk-UA"/>
              </w:rPr>
              <w:t xml:space="preserve"> податку для об'єктів житлової та / або нежитлової нерухомості установлюються з дотриманням вимог Кодексу диференційовано залежно від місця розташування (зональності) та типів таких об'єктів нерухомості. </w:t>
            </w:r>
          </w:p>
        </w:tc>
        <w:tc>
          <w:tcPr>
            <w:tcW w:w="3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C603D6" w:rsidRDefault="004C2FD0" w:rsidP="00DB2889">
            <w:pPr>
              <w:spacing w:after="135" w:line="240" w:lineRule="auto"/>
              <w:rPr>
                <w:rFonts w:ascii="Times New Roman" w:eastAsia="Times New Roman" w:hAnsi="Times New Roman" w:cs="Times New Roman"/>
                <w:color w:val="333333"/>
                <w:sz w:val="24"/>
                <w:szCs w:val="24"/>
                <w:lang w:eastAsia="uk-UA"/>
              </w:rPr>
            </w:pPr>
            <w:r w:rsidRPr="00C603D6">
              <w:rPr>
                <w:rFonts w:ascii="Times New Roman" w:eastAsia="Times New Roman" w:hAnsi="Times New Roman" w:cs="Times New Roman"/>
                <w:color w:val="333333"/>
                <w:sz w:val="24"/>
                <w:szCs w:val="24"/>
                <w:lang w:eastAsia="uk-UA"/>
              </w:rPr>
              <w:t>Часові витрати на отримання інформації щодо змін у оподаткуванні, інше;прямі матеріальні витрати на сплату податку суб’єктами господарювання, які підпадають під дію регулювання. При цьому складність нарахування податку через невизначеність меж зональності скорочує рівень узгодженості нарахувань відповідно зменшуючи рівень оплати та сталість її надходження. </w:t>
            </w:r>
          </w:p>
        </w:tc>
      </w:tr>
      <w:tr w:rsidR="004C2FD0" w:rsidRPr="004C2FD0" w:rsidTr="00815D99">
        <w:tc>
          <w:tcPr>
            <w:tcW w:w="25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C603D6" w:rsidRDefault="004C2FD0" w:rsidP="004C2FD0">
            <w:pPr>
              <w:spacing w:after="135" w:line="240" w:lineRule="auto"/>
              <w:rPr>
                <w:rFonts w:ascii="Times New Roman" w:eastAsia="Times New Roman" w:hAnsi="Times New Roman" w:cs="Times New Roman"/>
                <w:color w:val="333333"/>
                <w:sz w:val="24"/>
                <w:szCs w:val="24"/>
                <w:lang w:eastAsia="uk-UA"/>
              </w:rPr>
            </w:pPr>
            <w:r w:rsidRPr="00C603D6">
              <w:rPr>
                <w:rFonts w:ascii="Times New Roman" w:eastAsia="Times New Roman" w:hAnsi="Times New Roman" w:cs="Times New Roman"/>
                <w:color w:val="333333"/>
                <w:sz w:val="24"/>
                <w:szCs w:val="24"/>
                <w:lang w:eastAsia="uk-UA"/>
              </w:rPr>
              <w:t>Альтернатива 4</w:t>
            </w:r>
          </w:p>
        </w:tc>
        <w:tc>
          <w:tcPr>
            <w:tcW w:w="3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C603D6" w:rsidRDefault="004C2FD0" w:rsidP="004C2FD0">
            <w:pPr>
              <w:spacing w:after="135" w:line="240" w:lineRule="auto"/>
              <w:rPr>
                <w:rFonts w:ascii="Times New Roman" w:eastAsia="Times New Roman" w:hAnsi="Times New Roman" w:cs="Times New Roman"/>
                <w:color w:val="333333"/>
                <w:sz w:val="24"/>
                <w:szCs w:val="24"/>
                <w:lang w:eastAsia="uk-UA"/>
              </w:rPr>
            </w:pPr>
            <w:r w:rsidRPr="00C603D6">
              <w:rPr>
                <w:rFonts w:ascii="Times New Roman" w:eastAsia="Times New Roman" w:hAnsi="Times New Roman" w:cs="Times New Roman"/>
                <w:color w:val="333333"/>
                <w:sz w:val="24"/>
                <w:szCs w:val="24"/>
                <w:lang w:eastAsia="uk-UA"/>
              </w:rPr>
              <w:t>Податок сплачується в однаковому розмірі для всіх об’єктів нерухомості, незалежно від місць їх розташування (за розміром ставки для І зональності).</w:t>
            </w:r>
          </w:p>
          <w:p w:rsidR="004C2FD0" w:rsidRPr="00C603D6" w:rsidRDefault="004C2FD0" w:rsidP="004C2FD0">
            <w:pPr>
              <w:spacing w:after="135" w:line="240" w:lineRule="auto"/>
              <w:rPr>
                <w:rFonts w:ascii="Times New Roman" w:eastAsia="Times New Roman" w:hAnsi="Times New Roman" w:cs="Times New Roman"/>
                <w:color w:val="333333"/>
                <w:sz w:val="24"/>
                <w:szCs w:val="24"/>
                <w:lang w:eastAsia="uk-UA"/>
              </w:rPr>
            </w:pPr>
            <w:r w:rsidRPr="00C603D6">
              <w:rPr>
                <w:rFonts w:ascii="Times New Roman" w:eastAsia="Times New Roman" w:hAnsi="Times New Roman" w:cs="Times New Roman"/>
                <w:color w:val="333333"/>
                <w:sz w:val="24"/>
                <w:szCs w:val="24"/>
                <w:lang w:eastAsia="uk-UA"/>
              </w:rPr>
              <w:t>Враховуються повною мірою пропозиції членів територіальної громади щодо встановлення ставок з урахуванням типу об’єкта оподаткування.</w:t>
            </w:r>
          </w:p>
          <w:p w:rsidR="004C2FD0" w:rsidRPr="00C603D6" w:rsidRDefault="004C2FD0" w:rsidP="00DB2889">
            <w:pPr>
              <w:spacing w:after="135" w:line="240" w:lineRule="auto"/>
              <w:rPr>
                <w:rFonts w:ascii="Times New Roman" w:eastAsia="Times New Roman" w:hAnsi="Times New Roman" w:cs="Times New Roman"/>
                <w:color w:val="333333"/>
                <w:sz w:val="24"/>
                <w:szCs w:val="24"/>
                <w:lang w:eastAsia="uk-UA"/>
              </w:rPr>
            </w:pPr>
            <w:r w:rsidRPr="00C603D6">
              <w:rPr>
                <w:rFonts w:ascii="Times New Roman" w:eastAsia="Times New Roman" w:hAnsi="Times New Roman" w:cs="Times New Roman"/>
                <w:color w:val="333333"/>
                <w:sz w:val="24"/>
                <w:szCs w:val="24"/>
                <w:lang w:eastAsia="uk-UA"/>
              </w:rPr>
              <w:t xml:space="preserve">Прогнозні надходження від сплати податку понад </w:t>
            </w:r>
            <w:r w:rsidR="00C603D6">
              <w:rPr>
                <w:rFonts w:ascii="Times New Roman" w:eastAsia="Times New Roman" w:hAnsi="Times New Roman" w:cs="Times New Roman"/>
                <w:color w:val="333333"/>
                <w:sz w:val="24"/>
                <w:szCs w:val="24"/>
                <w:lang w:eastAsia="uk-UA"/>
              </w:rPr>
              <w:t>49,0 млн</w:t>
            </w:r>
            <w:r w:rsidRPr="00C603D6">
              <w:rPr>
                <w:rFonts w:ascii="Times New Roman" w:eastAsia="Times New Roman" w:hAnsi="Times New Roman" w:cs="Times New Roman"/>
                <w:color w:val="333333"/>
                <w:sz w:val="24"/>
                <w:szCs w:val="24"/>
                <w:lang w:eastAsia="uk-UA"/>
              </w:rPr>
              <w:t xml:space="preserve">. </w:t>
            </w:r>
            <w:r w:rsidR="00C603D6">
              <w:rPr>
                <w:rFonts w:ascii="Times New Roman" w:eastAsia="Times New Roman" w:hAnsi="Times New Roman" w:cs="Times New Roman"/>
                <w:color w:val="333333"/>
                <w:sz w:val="24"/>
                <w:szCs w:val="24"/>
                <w:lang w:eastAsia="uk-UA"/>
              </w:rPr>
              <w:t>грн.</w:t>
            </w:r>
          </w:p>
        </w:tc>
        <w:tc>
          <w:tcPr>
            <w:tcW w:w="3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C603D6" w:rsidRDefault="004C2FD0" w:rsidP="00C603D6">
            <w:pPr>
              <w:spacing w:after="135" w:line="240" w:lineRule="auto"/>
              <w:rPr>
                <w:rFonts w:ascii="Times New Roman" w:eastAsia="Times New Roman" w:hAnsi="Times New Roman" w:cs="Times New Roman"/>
                <w:color w:val="333333"/>
                <w:sz w:val="24"/>
                <w:szCs w:val="24"/>
                <w:lang w:eastAsia="uk-UA"/>
              </w:rPr>
            </w:pPr>
            <w:r w:rsidRPr="00C603D6">
              <w:rPr>
                <w:rFonts w:ascii="Times New Roman" w:eastAsia="Times New Roman" w:hAnsi="Times New Roman" w:cs="Times New Roman"/>
                <w:color w:val="333333"/>
                <w:sz w:val="24"/>
                <w:szCs w:val="24"/>
                <w:lang w:eastAsia="uk-UA"/>
              </w:rPr>
              <w:t>Часові витрати на отримання інформації щодо змін у оподаткуванні, прямі матеріальні витрати на сплату податку суб’єктами господарювання, які підпадають під дію регулювання.</w:t>
            </w:r>
          </w:p>
        </w:tc>
      </w:tr>
    </w:tbl>
    <w:p w:rsidR="004C2FD0" w:rsidRPr="004C2FD0" w:rsidRDefault="004C2FD0" w:rsidP="004C2FD0">
      <w:pPr>
        <w:shd w:val="clear" w:color="auto" w:fill="FFFFFF"/>
        <w:spacing w:after="135" w:line="240" w:lineRule="auto"/>
        <w:rPr>
          <w:rFonts w:ascii="Helvetica" w:eastAsia="Times New Roman" w:hAnsi="Helvetica" w:cs="Helvetica"/>
          <w:color w:val="333333"/>
          <w:sz w:val="20"/>
          <w:szCs w:val="20"/>
          <w:lang w:eastAsia="uk-UA"/>
        </w:rPr>
      </w:pPr>
      <w:r w:rsidRPr="004C2FD0">
        <w:rPr>
          <w:rFonts w:ascii="Helvetica" w:eastAsia="Times New Roman" w:hAnsi="Helvetica" w:cs="Helvetica"/>
          <w:color w:val="333333"/>
          <w:sz w:val="20"/>
          <w:szCs w:val="20"/>
          <w:lang w:eastAsia="uk-UA"/>
        </w:rPr>
        <w:t> </w:t>
      </w:r>
    </w:p>
    <w:p w:rsidR="004C2FD0" w:rsidRPr="00C603D6" w:rsidRDefault="004C2FD0" w:rsidP="00C603D6">
      <w:pPr>
        <w:shd w:val="clear" w:color="auto" w:fill="FFFFFF"/>
        <w:spacing w:after="135" w:line="240" w:lineRule="auto"/>
        <w:jc w:val="center"/>
        <w:rPr>
          <w:rFonts w:ascii="Times New Roman" w:eastAsia="Times New Roman" w:hAnsi="Times New Roman" w:cs="Times New Roman"/>
          <w:color w:val="333333"/>
          <w:sz w:val="24"/>
          <w:szCs w:val="24"/>
          <w:lang w:eastAsia="uk-UA"/>
        </w:rPr>
      </w:pPr>
      <w:r w:rsidRPr="00C603D6">
        <w:rPr>
          <w:rFonts w:ascii="Times New Roman" w:eastAsia="Times New Roman" w:hAnsi="Times New Roman" w:cs="Times New Roman"/>
          <w:b/>
          <w:bCs/>
          <w:color w:val="333333"/>
          <w:sz w:val="24"/>
          <w:szCs w:val="24"/>
          <w:lang w:eastAsia="uk-UA"/>
        </w:rPr>
        <w:t>IV. Вибір найбільш оптимального альтернативного способу</w:t>
      </w:r>
    </w:p>
    <w:p w:rsidR="004C2FD0" w:rsidRPr="00C603D6" w:rsidRDefault="004C2FD0" w:rsidP="00C603D6">
      <w:pPr>
        <w:shd w:val="clear" w:color="auto" w:fill="FFFFFF"/>
        <w:spacing w:after="135" w:line="240" w:lineRule="auto"/>
        <w:jc w:val="center"/>
        <w:rPr>
          <w:rFonts w:ascii="Times New Roman" w:eastAsia="Times New Roman" w:hAnsi="Times New Roman" w:cs="Times New Roman"/>
          <w:color w:val="333333"/>
          <w:sz w:val="24"/>
          <w:szCs w:val="24"/>
          <w:lang w:eastAsia="uk-UA"/>
        </w:rPr>
      </w:pPr>
      <w:r w:rsidRPr="00C603D6">
        <w:rPr>
          <w:rFonts w:ascii="Times New Roman" w:eastAsia="Times New Roman" w:hAnsi="Times New Roman" w:cs="Times New Roman"/>
          <w:b/>
          <w:bCs/>
          <w:color w:val="333333"/>
          <w:sz w:val="24"/>
          <w:szCs w:val="24"/>
          <w:lang w:eastAsia="uk-UA"/>
        </w:rPr>
        <w:t>досягнення цілей</w:t>
      </w:r>
    </w:p>
    <w:p w:rsidR="004C2FD0" w:rsidRPr="00C603D6" w:rsidRDefault="004C2FD0" w:rsidP="00DB2889">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sidRPr="00C603D6">
        <w:rPr>
          <w:rFonts w:ascii="Times New Roman" w:eastAsia="Times New Roman" w:hAnsi="Times New Roman" w:cs="Times New Roman"/>
          <w:color w:val="333333"/>
          <w:sz w:val="24"/>
          <w:szCs w:val="24"/>
          <w:lang w:eastAsia="uk-UA"/>
        </w:rPr>
        <w:t>Здійснено вибір оптимального альтернативного способу з урахуванням системи бальної оцінки ступеня досягнення визначених цілей.</w:t>
      </w:r>
    </w:p>
    <w:p w:rsidR="004C2FD0" w:rsidRPr="00C603D6" w:rsidRDefault="004C2FD0" w:rsidP="00DB2889">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C603D6">
        <w:rPr>
          <w:rFonts w:ascii="Times New Roman" w:eastAsia="Times New Roman" w:hAnsi="Times New Roman" w:cs="Times New Roman"/>
          <w:color w:val="333333"/>
          <w:sz w:val="24"/>
          <w:szCs w:val="24"/>
          <w:lang w:eastAsia="uk-UA"/>
        </w:rPr>
        <w:t>Оцінка ступеня досягнення цілей визначається за чотирибальною системою, де:</w:t>
      </w:r>
    </w:p>
    <w:p w:rsidR="004C2FD0" w:rsidRPr="00C603D6" w:rsidRDefault="004C2FD0" w:rsidP="00DB2889">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C603D6">
        <w:rPr>
          <w:rFonts w:ascii="Times New Roman" w:eastAsia="Times New Roman" w:hAnsi="Times New Roman" w:cs="Times New Roman"/>
          <w:color w:val="333333"/>
          <w:sz w:val="24"/>
          <w:szCs w:val="24"/>
          <w:lang w:eastAsia="uk-UA"/>
        </w:rPr>
        <w:t>4 – цілі ухвалення регуляторного акта можуть бути досягнуті повною мірою (проблеми більше не буде);</w:t>
      </w:r>
    </w:p>
    <w:p w:rsidR="004C2FD0" w:rsidRPr="00C603D6" w:rsidRDefault="004C2FD0" w:rsidP="00DB2889">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C603D6">
        <w:rPr>
          <w:rFonts w:ascii="Times New Roman" w:eastAsia="Times New Roman" w:hAnsi="Times New Roman" w:cs="Times New Roman"/>
          <w:color w:val="333333"/>
          <w:sz w:val="24"/>
          <w:szCs w:val="24"/>
          <w:lang w:eastAsia="uk-UA"/>
        </w:rPr>
        <w:t>3 – цілі ухвалення регуляторного акта можуть бути досягнуті майже  повною мірою (усі важливі аспекти проблеми усунені);</w:t>
      </w:r>
    </w:p>
    <w:p w:rsidR="004C2FD0" w:rsidRPr="00C603D6" w:rsidRDefault="004C2FD0" w:rsidP="00DB2889">
      <w:pPr>
        <w:shd w:val="clear" w:color="auto" w:fill="FFFFFF"/>
        <w:spacing w:after="0" w:line="240" w:lineRule="auto"/>
        <w:rPr>
          <w:rFonts w:ascii="Times New Roman" w:eastAsia="Times New Roman" w:hAnsi="Times New Roman" w:cs="Times New Roman"/>
          <w:color w:val="333333"/>
          <w:sz w:val="24"/>
          <w:szCs w:val="24"/>
          <w:lang w:eastAsia="uk-UA"/>
        </w:rPr>
      </w:pPr>
      <w:r w:rsidRPr="00C603D6">
        <w:rPr>
          <w:rFonts w:ascii="Times New Roman" w:eastAsia="Times New Roman" w:hAnsi="Times New Roman" w:cs="Times New Roman"/>
          <w:color w:val="333333"/>
          <w:sz w:val="24"/>
          <w:szCs w:val="24"/>
          <w:lang w:eastAsia="uk-UA"/>
        </w:rPr>
        <w:t>2 – цілі ухвалення регуляторного акта можуть бути досягнуті частково (проблема значно зменшиться, однак, деякі важливі критичні її аспекти залишаться невирішеними);</w:t>
      </w:r>
    </w:p>
    <w:p w:rsidR="004C2FD0" w:rsidRDefault="004C2FD0" w:rsidP="00DB2889">
      <w:pPr>
        <w:shd w:val="clear" w:color="auto" w:fill="FFFFFF"/>
        <w:spacing w:after="0" w:line="240" w:lineRule="auto"/>
        <w:rPr>
          <w:rFonts w:ascii="Times New Roman" w:eastAsia="Times New Roman" w:hAnsi="Times New Roman" w:cs="Times New Roman"/>
          <w:color w:val="333333"/>
          <w:sz w:val="24"/>
          <w:szCs w:val="24"/>
          <w:lang w:eastAsia="uk-UA"/>
        </w:rPr>
      </w:pPr>
      <w:r w:rsidRPr="00C603D6">
        <w:rPr>
          <w:rFonts w:ascii="Times New Roman" w:eastAsia="Times New Roman" w:hAnsi="Times New Roman" w:cs="Times New Roman"/>
          <w:color w:val="333333"/>
          <w:sz w:val="24"/>
          <w:szCs w:val="24"/>
          <w:lang w:eastAsia="uk-UA"/>
        </w:rPr>
        <w:t>1 – цілі ухвалення регуляторного акта не можуть бути досягнуті (проблема залишається).</w:t>
      </w:r>
    </w:p>
    <w:p w:rsidR="00DB2889" w:rsidRDefault="00DB2889" w:rsidP="00DB2889">
      <w:pPr>
        <w:shd w:val="clear" w:color="auto" w:fill="FFFFFF"/>
        <w:spacing w:after="0" w:line="240" w:lineRule="auto"/>
        <w:rPr>
          <w:rFonts w:ascii="Times New Roman" w:eastAsia="Times New Roman" w:hAnsi="Times New Roman" w:cs="Times New Roman"/>
          <w:color w:val="333333"/>
          <w:sz w:val="24"/>
          <w:szCs w:val="24"/>
          <w:lang w:eastAsia="uk-UA"/>
        </w:rPr>
      </w:pPr>
    </w:p>
    <w:p w:rsidR="00DB2889" w:rsidRDefault="00DB2889" w:rsidP="00DB2889">
      <w:pPr>
        <w:shd w:val="clear" w:color="auto" w:fill="FFFFFF"/>
        <w:spacing w:after="0" w:line="240" w:lineRule="auto"/>
        <w:rPr>
          <w:rFonts w:ascii="Times New Roman" w:eastAsia="Times New Roman" w:hAnsi="Times New Roman" w:cs="Times New Roman"/>
          <w:color w:val="333333"/>
          <w:sz w:val="24"/>
          <w:szCs w:val="24"/>
          <w:lang w:eastAsia="uk-UA"/>
        </w:rPr>
      </w:pPr>
    </w:p>
    <w:p w:rsidR="00DB2889" w:rsidRPr="00C603D6" w:rsidRDefault="00DB2889" w:rsidP="00DB2889">
      <w:pPr>
        <w:shd w:val="clear" w:color="auto" w:fill="FFFFFF"/>
        <w:spacing w:after="0" w:line="240" w:lineRule="auto"/>
        <w:rPr>
          <w:rFonts w:ascii="Times New Roman" w:eastAsia="Times New Roman" w:hAnsi="Times New Roman" w:cs="Times New Roman"/>
          <w:color w:val="333333"/>
          <w:sz w:val="24"/>
          <w:szCs w:val="24"/>
          <w:lang w:eastAsia="uk-UA"/>
        </w:rPr>
      </w:pPr>
    </w:p>
    <w:tbl>
      <w:tblPr>
        <w:tblW w:w="485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671"/>
        <w:gridCol w:w="2443"/>
        <w:gridCol w:w="4251"/>
      </w:tblGrid>
      <w:tr w:rsidR="004C2FD0" w:rsidRPr="00C603D6" w:rsidTr="00DB2889">
        <w:tc>
          <w:tcPr>
            <w:tcW w:w="26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C603D6"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C603D6">
              <w:rPr>
                <w:rFonts w:ascii="Times New Roman" w:eastAsia="Times New Roman" w:hAnsi="Times New Roman" w:cs="Times New Roman"/>
                <w:b/>
                <w:bCs/>
                <w:i/>
                <w:iCs/>
                <w:color w:val="333333"/>
                <w:sz w:val="24"/>
                <w:szCs w:val="24"/>
                <w:lang w:eastAsia="uk-UA"/>
              </w:rPr>
              <w:lastRenderedPageBreak/>
              <w:t>Рейтинг результативності (досягнення цілей під час вирішення проблеми)</w:t>
            </w:r>
          </w:p>
        </w:tc>
        <w:tc>
          <w:tcPr>
            <w:tcW w:w="24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C603D6"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C603D6">
              <w:rPr>
                <w:rFonts w:ascii="Times New Roman" w:eastAsia="Times New Roman" w:hAnsi="Times New Roman" w:cs="Times New Roman"/>
                <w:b/>
                <w:bCs/>
                <w:i/>
                <w:iCs/>
                <w:color w:val="333333"/>
                <w:sz w:val="24"/>
                <w:szCs w:val="24"/>
                <w:lang w:eastAsia="uk-UA"/>
              </w:rPr>
              <w:t>Бал результативності</w:t>
            </w:r>
          </w:p>
          <w:p w:rsidR="004C2FD0" w:rsidRPr="00C603D6"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C603D6">
              <w:rPr>
                <w:rFonts w:ascii="Times New Roman" w:eastAsia="Times New Roman" w:hAnsi="Times New Roman" w:cs="Times New Roman"/>
                <w:b/>
                <w:bCs/>
                <w:i/>
                <w:iCs/>
                <w:color w:val="333333"/>
                <w:sz w:val="24"/>
                <w:szCs w:val="24"/>
                <w:lang w:eastAsia="uk-UA"/>
              </w:rPr>
              <w:t>(за чотири-бальною системою оцінки)</w:t>
            </w:r>
          </w:p>
        </w:tc>
        <w:tc>
          <w:tcPr>
            <w:tcW w:w="4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C603D6"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C603D6">
              <w:rPr>
                <w:rFonts w:ascii="Times New Roman" w:eastAsia="Times New Roman" w:hAnsi="Times New Roman" w:cs="Times New Roman"/>
                <w:b/>
                <w:bCs/>
                <w:i/>
                <w:iCs/>
                <w:color w:val="333333"/>
                <w:sz w:val="24"/>
                <w:szCs w:val="24"/>
                <w:lang w:eastAsia="uk-UA"/>
              </w:rPr>
              <w:t>Коментарі щодо присвоєння відповідного бала</w:t>
            </w:r>
          </w:p>
        </w:tc>
      </w:tr>
      <w:tr w:rsidR="004C2FD0" w:rsidRPr="00C603D6" w:rsidTr="00DB2889">
        <w:tc>
          <w:tcPr>
            <w:tcW w:w="26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C603D6"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C603D6">
              <w:rPr>
                <w:rFonts w:ascii="Times New Roman" w:eastAsia="Times New Roman" w:hAnsi="Times New Roman" w:cs="Times New Roman"/>
                <w:b/>
                <w:bCs/>
                <w:i/>
                <w:iCs/>
                <w:color w:val="333333"/>
                <w:sz w:val="24"/>
                <w:szCs w:val="24"/>
                <w:lang w:eastAsia="uk-UA"/>
              </w:rPr>
              <w:t>1</w:t>
            </w:r>
          </w:p>
        </w:tc>
        <w:tc>
          <w:tcPr>
            <w:tcW w:w="24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C603D6"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C603D6">
              <w:rPr>
                <w:rFonts w:ascii="Times New Roman" w:eastAsia="Times New Roman" w:hAnsi="Times New Roman" w:cs="Times New Roman"/>
                <w:b/>
                <w:bCs/>
                <w:i/>
                <w:iCs/>
                <w:color w:val="333333"/>
                <w:sz w:val="24"/>
                <w:szCs w:val="24"/>
                <w:lang w:eastAsia="uk-UA"/>
              </w:rPr>
              <w:t>2</w:t>
            </w:r>
          </w:p>
        </w:tc>
        <w:tc>
          <w:tcPr>
            <w:tcW w:w="4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C603D6"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C603D6">
              <w:rPr>
                <w:rFonts w:ascii="Times New Roman" w:eastAsia="Times New Roman" w:hAnsi="Times New Roman" w:cs="Times New Roman"/>
                <w:b/>
                <w:bCs/>
                <w:i/>
                <w:iCs/>
                <w:color w:val="333333"/>
                <w:sz w:val="24"/>
                <w:szCs w:val="24"/>
                <w:lang w:eastAsia="uk-UA"/>
              </w:rPr>
              <w:t>3</w:t>
            </w:r>
          </w:p>
        </w:tc>
      </w:tr>
      <w:tr w:rsidR="004C2FD0" w:rsidRPr="00C603D6" w:rsidTr="00DB2889">
        <w:tc>
          <w:tcPr>
            <w:tcW w:w="26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C603D6" w:rsidRDefault="004C2FD0" w:rsidP="004C2FD0">
            <w:pPr>
              <w:spacing w:after="135" w:line="240" w:lineRule="auto"/>
              <w:rPr>
                <w:rFonts w:ascii="Times New Roman" w:eastAsia="Times New Roman" w:hAnsi="Times New Roman" w:cs="Times New Roman"/>
                <w:color w:val="333333"/>
                <w:sz w:val="24"/>
                <w:szCs w:val="24"/>
                <w:lang w:eastAsia="uk-UA"/>
              </w:rPr>
            </w:pPr>
            <w:r w:rsidRPr="00C603D6">
              <w:rPr>
                <w:rFonts w:ascii="Times New Roman" w:eastAsia="Times New Roman" w:hAnsi="Times New Roman" w:cs="Times New Roman"/>
                <w:color w:val="333333"/>
                <w:sz w:val="24"/>
                <w:szCs w:val="24"/>
                <w:lang w:eastAsia="uk-UA"/>
              </w:rPr>
              <w:t>Альтернатива 1</w:t>
            </w:r>
          </w:p>
        </w:tc>
        <w:tc>
          <w:tcPr>
            <w:tcW w:w="24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C603D6"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C603D6">
              <w:rPr>
                <w:rFonts w:ascii="Times New Roman" w:eastAsia="Times New Roman" w:hAnsi="Times New Roman" w:cs="Times New Roman"/>
                <w:color w:val="333333"/>
                <w:sz w:val="24"/>
                <w:szCs w:val="24"/>
                <w:lang w:eastAsia="uk-UA"/>
              </w:rPr>
              <w:t>1</w:t>
            </w:r>
          </w:p>
        </w:tc>
        <w:tc>
          <w:tcPr>
            <w:tcW w:w="4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C603D6" w:rsidRDefault="004C2FD0" w:rsidP="002D1EA2">
            <w:pPr>
              <w:spacing w:after="135" w:line="240" w:lineRule="auto"/>
              <w:rPr>
                <w:rFonts w:ascii="Times New Roman" w:eastAsia="Times New Roman" w:hAnsi="Times New Roman" w:cs="Times New Roman"/>
                <w:color w:val="333333"/>
                <w:sz w:val="24"/>
                <w:szCs w:val="24"/>
                <w:lang w:eastAsia="uk-UA"/>
              </w:rPr>
            </w:pPr>
            <w:r w:rsidRPr="00C603D6">
              <w:rPr>
                <w:rFonts w:ascii="Times New Roman" w:eastAsia="Times New Roman" w:hAnsi="Times New Roman" w:cs="Times New Roman"/>
                <w:color w:val="333333"/>
                <w:sz w:val="24"/>
                <w:szCs w:val="24"/>
                <w:lang w:eastAsia="uk-UA"/>
              </w:rPr>
              <w:t xml:space="preserve">Відсутні витрати. З 01.01.2021 </w:t>
            </w:r>
            <w:r w:rsidR="00C603D6">
              <w:rPr>
                <w:rFonts w:ascii="Times New Roman" w:eastAsia="Times New Roman" w:hAnsi="Times New Roman" w:cs="Times New Roman"/>
                <w:color w:val="333333"/>
                <w:sz w:val="24"/>
                <w:szCs w:val="24"/>
                <w:lang w:eastAsia="uk-UA"/>
              </w:rPr>
              <w:t>на території Луцької міської територіальної громади</w:t>
            </w:r>
            <w:r w:rsidRPr="00C603D6">
              <w:rPr>
                <w:rFonts w:ascii="Times New Roman" w:eastAsia="Times New Roman" w:hAnsi="Times New Roman" w:cs="Times New Roman"/>
                <w:color w:val="333333"/>
                <w:sz w:val="24"/>
                <w:szCs w:val="24"/>
                <w:lang w:eastAsia="uk-UA"/>
              </w:rPr>
              <w:t xml:space="preserve"> не встановлено розмір ставки податку, на законодавчому рівні не визначено мінімального розміру ставки, відповідно не нараховується та не сплачується податок. Наслідком є недоотрим</w:t>
            </w:r>
            <w:r w:rsidR="008E2F86">
              <w:rPr>
                <w:rFonts w:ascii="Times New Roman" w:eastAsia="Times New Roman" w:hAnsi="Times New Roman" w:cs="Times New Roman"/>
                <w:color w:val="333333"/>
                <w:sz w:val="24"/>
                <w:szCs w:val="24"/>
                <w:lang w:eastAsia="uk-UA"/>
              </w:rPr>
              <w:t>ання надходжень до бюджету громади</w:t>
            </w:r>
            <w:r w:rsidRPr="00C603D6">
              <w:rPr>
                <w:rFonts w:ascii="Times New Roman" w:eastAsia="Times New Roman" w:hAnsi="Times New Roman" w:cs="Times New Roman"/>
                <w:color w:val="333333"/>
                <w:sz w:val="24"/>
                <w:szCs w:val="24"/>
                <w:lang w:eastAsia="uk-UA"/>
              </w:rPr>
              <w:t xml:space="preserve"> коштів </w:t>
            </w:r>
            <w:r w:rsidR="00C603D6">
              <w:rPr>
                <w:rFonts w:ascii="Times New Roman" w:eastAsia="Times New Roman" w:hAnsi="Times New Roman" w:cs="Times New Roman"/>
                <w:color w:val="333333"/>
                <w:sz w:val="24"/>
                <w:szCs w:val="24"/>
                <w:lang w:eastAsia="uk-UA"/>
              </w:rPr>
              <w:t xml:space="preserve">49,0 </w:t>
            </w:r>
            <w:proofErr w:type="spellStart"/>
            <w:r w:rsidR="00C603D6">
              <w:rPr>
                <w:rFonts w:ascii="Times New Roman" w:eastAsia="Times New Roman" w:hAnsi="Times New Roman" w:cs="Times New Roman"/>
                <w:color w:val="333333"/>
                <w:sz w:val="24"/>
                <w:szCs w:val="24"/>
                <w:lang w:eastAsia="uk-UA"/>
              </w:rPr>
              <w:t>млн</w:t>
            </w:r>
            <w:r w:rsidRPr="00C603D6">
              <w:rPr>
                <w:rFonts w:ascii="Times New Roman" w:eastAsia="Times New Roman" w:hAnsi="Times New Roman" w:cs="Times New Roman"/>
                <w:color w:val="333333"/>
                <w:sz w:val="24"/>
                <w:szCs w:val="24"/>
                <w:lang w:eastAsia="uk-UA"/>
              </w:rPr>
              <w:t>.грн</w:t>
            </w:r>
            <w:proofErr w:type="spellEnd"/>
            <w:r w:rsidR="002D1EA2">
              <w:rPr>
                <w:rFonts w:ascii="Times New Roman" w:eastAsia="Times New Roman" w:hAnsi="Times New Roman" w:cs="Times New Roman"/>
                <w:color w:val="333333"/>
                <w:sz w:val="24"/>
                <w:szCs w:val="24"/>
                <w:lang w:eastAsia="uk-UA"/>
              </w:rPr>
              <w:t xml:space="preserve"> </w:t>
            </w:r>
            <w:r w:rsidRPr="00C603D6">
              <w:rPr>
                <w:rFonts w:ascii="Times New Roman" w:eastAsia="Times New Roman" w:hAnsi="Times New Roman" w:cs="Times New Roman"/>
                <w:color w:val="333333"/>
                <w:sz w:val="24"/>
                <w:szCs w:val="24"/>
                <w:lang w:eastAsia="uk-UA"/>
              </w:rPr>
              <w:t xml:space="preserve"> на прогнозованому рівні, що обмежить фінансування першочергових видатків, які мають тенденцію до збільшення. Це пов’язано із зростанням заробітної плати працівників бюджетної сфери, підвищенням тарифів на енергоносії тощо. Негативний вплив буде завдано територіальній громаді, оскільки відсутність надходжень до бюджету ставить під загрозу фінансу</w:t>
            </w:r>
            <w:r w:rsidR="008E2F86">
              <w:rPr>
                <w:rFonts w:ascii="Times New Roman" w:eastAsia="Times New Roman" w:hAnsi="Times New Roman" w:cs="Times New Roman"/>
                <w:color w:val="333333"/>
                <w:sz w:val="24"/>
                <w:szCs w:val="24"/>
                <w:lang w:eastAsia="uk-UA"/>
              </w:rPr>
              <w:t>вання соціально важливих місцевих</w:t>
            </w:r>
            <w:r w:rsidRPr="00C603D6">
              <w:rPr>
                <w:rFonts w:ascii="Times New Roman" w:eastAsia="Times New Roman" w:hAnsi="Times New Roman" w:cs="Times New Roman"/>
                <w:color w:val="333333"/>
                <w:sz w:val="24"/>
                <w:szCs w:val="24"/>
                <w:lang w:eastAsia="uk-UA"/>
              </w:rPr>
              <w:t xml:space="preserve"> цільових програм</w:t>
            </w:r>
            <w:r w:rsidR="002D1EA2">
              <w:rPr>
                <w:rFonts w:ascii="Times New Roman" w:eastAsia="Times New Roman" w:hAnsi="Times New Roman" w:cs="Times New Roman"/>
                <w:color w:val="333333"/>
                <w:sz w:val="24"/>
                <w:szCs w:val="24"/>
                <w:lang w:eastAsia="uk-UA"/>
              </w:rPr>
              <w:t xml:space="preserve">. </w:t>
            </w:r>
          </w:p>
        </w:tc>
      </w:tr>
      <w:tr w:rsidR="004C2FD0" w:rsidRPr="00C603D6" w:rsidTr="00DB2889">
        <w:trPr>
          <w:trHeight w:val="1822"/>
        </w:trPr>
        <w:tc>
          <w:tcPr>
            <w:tcW w:w="26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C603D6" w:rsidRDefault="004C2FD0" w:rsidP="004C2FD0">
            <w:pPr>
              <w:spacing w:after="135" w:line="240" w:lineRule="auto"/>
              <w:rPr>
                <w:rFonts w:ascii="Times New Roman" w:eastAsia="Times New Roman" w:hAnsi="Times New Roman" w:cs="Times New Roman"/>
                <w:color w:val="333333"/>
                <w:sz w:val="24"/>
                <w:szCs w:val="24"/>
                <w:lang w:eastAsia="uk-UA"/>
              </w:rPr>
            </w:pPr>
            <w:r w:rsidRPr="00C603D6">
              <w:rPr>
                <w:rFonts w:ascii="Times New Roman" w:eastAsia="Times New Roman" w:hAnsi="Times New Roman" w:cs="Times New Roman"/>
                <w:color w:val="333333"/>
                <w:sz w:val="24"/>
                <w:szCs w:val="24"/>
                <w:lang w:eastAsia="uk-UA"/>
              </w:rPr>
              <w:t>Альтернатива 2</w:t>
            </w:r>
          </w:p>
        </w:tc>
        <w:tc>
          <w:tcPr>
            <w:tcW w:w="24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C603D6"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C603D6">
              <w:rPr>
                <w:rFonts w:ascii="Times New Roman" w:eastAsia="Times New Roman" w:hAnsi="Times New Roman" w:cs="Times New Roman"/>
                <w:color w:val="333333"/>
                <w:sz w:val="24"/>
                <w:szCs w:val="24"/>
                <w:lang w:eastAsia="uk-UA"/>
              </w:rPr>
              <w:t>2</w:t>
            </w:r>
          </w:p>
        </w:tc>
        <w:tc>
          <w:tcPr>
            <w:tcW w:w="4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C603D6" w:rsidRDefault="004C2FD0" w:rsidP="002D1EA2">
            <w:pPr>
              <w:spacing w:after="135" w:line="240" w:lineRule="auto"/>
              <w:rPr>
                <w:rFonts w:ascii="Times New Roman" w:eastAsia="Times New Roman" w:hAnsi="Times New Roman" w:cs="Times New Roman"/>
                <w:color w:val="333333"/>
                <w:sz w:val="24"/>
                <w:szCs w:val="24"/>
                <w:lang w:eastAsia="uk-UA"/>
              </w:rPr>
            </w:pPr>
            <w:r w:rsidRPr="00C603D6">
              <w:rPr>
                <w:rFonts w:ascii="Times New Roman" w:eastAsia="Times New Roman" w:hAnsi="Times New Roman" w:cs="Times New Roman"/>
                <w:color w:val="333333"/>
                <w:sz w:val="24"/>
                <w:szCs w:val="24"/>
                <w:lang w:eastAsia="uk-UA"/>
              </w:rPr>
              <w:t>Збільшується податкове навантаження на громадян, суб’єктів господарювання у зв’язку із збільшенням розміру ставки податку на нерухоме майно, відмінне від земельної ділянки. Не забезпечує рівне для всіх платників податку конкурентне середовище.</w:t>
            </w:r>
            <w:r w:rsidR="002D1EA2">
              <w:rPr>
                <w:rFonts w:ascii="Times New Roman" w:eastAsia="Times New Roman" w:hAnsi="Times New Roman" w:cs="Times New Roman"/>
                <w:color w:val="333333"/>
                <w:sz w:val="24"/>
                <w:szCs w:val="24"/>
                <w:lang w:eastAsia="uk-UA"/>
              </w:rPr>
              <w:t xml:space="preserve"> </w:t>
            </w:r>
          </w:p>
        </w:tc>
      </w:tr>
      <w:tr w:rsidR="004C2FD0" w:rsidRPr="00C603D6" w:rsidTr="00DB2889">
        <w:tc>
          <w:tcPr>
            <w:tcW w:w="26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C603D6" w:rsidRDefault="004C2FD0" w:rsidP="004C2FD0">
            <w:pPr>
              <w:spacing w:after="135" w:line="240" w:lineRule="auto"/>
              <w:rPr>
                <w:rFonts w:ascii="Times New Roman" w:eastAsia="Times New Roman" w:hAnsi="Times New Roman" w:cs="Times New Roman"/>
                <w:color w:val="333333"/>
                <w:sz w:val="24"/>
                <w:szCs w:val="24"/>
                <w:lang w:eastAsia="uk-UA"/>
              </w:rPr>
            </w:pPr>
            <w:r w:rsidRPr="00C603D6">
              <w:rPr>
                <w:rFonts w:ascii="Times New Roman" w:eastAsia="Times New Roman" w:hAnsi="Times New Roman" w:cs="Times New Roman"/>
                <w:color w:val="333333"/>
                <w:sz w:val="24"/>
                <w:szCs w:val="24"/>
                <w:lang w:eastAsia="uk-UA"/>
              </w:rPr>
              <w:t>Альтернатива 3</w:t>
            </w:r>
          </w:p>
        </w:tc>
        <w:tc>
          <w:tcPr>
            <w:tcW w:w="24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C603D6"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C603D6">
              <w:rPr>
                <w:rFonts w:ascii="Times New Roman" w:eastAsia="Times New Roman" w:hAnsi="Times New Roman" w:cs="Times New Roman"/>
                <w:color w:val="333333"/>
                <w:sz w:val="24"/>
                <w:szCs w:val="24"/>
                <w:lang w:eastAsia="uk-UA"/>
              </w:rPr>
              <w:t>3</w:t>
            </w:r>
          </w:p>
        </w:tc>
        <w:tc>
          <w:tcPr>
            <w:tcW w:w="4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C603D6" w:rsidRDefault="004C2FD0" w:rsidP="002D1EA2">
            <w:pPr>
              <w:spacing w:after="0" w:line="240" w:lineRule="auto"/>
              <w:rPr>
                <w:rFonts w:ascii="Times New Roman" w:eastAsia="Times New Roman" w:hAnsi="Times New Roman" w:cs="Times New Roman"/>
                <w:color w:val="333333"/>
                <w:sz w:val="24"/>
                <w:szCs w:val="24"/>
                <w:lang w:eastAsia="uk-UA"/>
              </w:rPr>
            </w:pPr>
            <w:r w:rsidRPr="00C603D6">
              <w:rPr>
                <w:rFonts w:ascii="Times New Roman" w:eastAsia="Times New Roman" w:hAnsi="Times New Roman" w:cs="Times New Roman"/>
                <w:color w:val="333333"/>
                <w:sz w:val="24"/>
                <w:szCs w:val="24"/>
                <w:lang w:eastAsia="uk-UA"/>
              </w:rPr>
              <w:t xml:space="preserve">Цілі </w:t>
            </w:r>
            <w:r w:rsidR="002D1EA2">
              <w:rPr>
                <w:rFonts w:ascii="Times New Roman" w:eastAsia="Times New Roman" w:hAnsi="Times New Roman" w:cs="Times New Roman"/>
                <w:color w:val="333333"/>
                <w:sz w:val="24"/>
                <w:szCs w:val="24"/>
                <w:lang w:eastAsia="uk-UA"/>
              </w:rPr>
              <w:t>прийняття</w:t>
            </w:r>
            <w:r w:rsidRPr="00C603D6">
              <w:rPr>
                <w:rFonts w:ascii="Times New Roman" w:eastAsia="Times New Roman" w:hAnsi="Times New Roman" w:cs="Times New Roman"/>
                <w:color w:val="333333"/>
                <w:sz w:val="24"/>
                <w:szCs w:val="24"/>
                <w:lang w:eastAsia="uk-UA"/>
              </w:rPr>
              <w:t xml:space="preserve"> регуляторного акта можуть бути досягнуті майже  повною мірою. Ставки податку для об'єктів житлової та/або нежитлової нерухомості, що перебувають у власності фізичних і  юридичних осіб, установлюються з повним дотриманням вимог Кодексу диференційовано залежно від місця розташування (зональності) та типів таких об'єктів нерухомості.</w:t>
            </w:r>
          </w:p>
          <w:p w:rsidR="004C2FD0" w:rsidRPr="00C603D6" w:rsidRDefault="004C2FD0" w:rsidP="002D1EA2">
            <w:pPr>
              <w:spacing w:after="0" w:line="240" w:lineRule="auto"/>
              <w:rPr>
                <w:rFonts w:ascii="Times New Roman" w:eastAsia="Times New Roman" w:hAnsi="Times New Roman" w:cs="Times New Roman"/>
                <w:color w:val="333333"/>
                <w:sz w:val="24"/>
                <w:szCs w:val="24"/>
                <w:lang w:eastAsia="uk-UA"/>
              </w:rPr>
            </w:pPr>
            <w:r w:rsidRPr="00C603D6">
              <w:rPr>
                <w:rFonts w:ascii="Times New Roman" w:eastAsia="Times New Roman" w:hAnsi="Times New Roman" w:cs="Times New Roman"/>
                <w:color w:val="333333"/>
                <w:sz w:val="24"/>
                <w:szCs w:val="24"/>
                <w:lang w:eastAsia="uk-UA"/>
              </w:rPr>
              <w:t>Але не вирішеним залишається питання встановлення меж між зонами, що призводить до ускладнення процесу адміністрування податку.</w:t>
            </w:r>
          </w:p>
        </w:tc>
      </w:tr>
      <w:tr w:rsidR="004C2FD0" w:rsidRPr="00C603D6" w:rsidTr="00DB2889">
        <w:tc>
          <w:tcPr>
            <w:tcW w:w="26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C603D6" w:rsidRDefault="004C2FD0" w:rsidP="004C2FD0">
            <w:pPr>
              <w:spacing w:after="135" w:line="240" w:lineRule="auto"/>
              <w:rPr>
                <w:rFonts w:ascii="Times New Roman" w:eastAsia="Times New Roman" w:hAnsi="Times New Roman" w:cs="Times New Roman"/>
                <w:color w:val="333333"/>
                <w:sz w:val="24"/>
                <w:szCs w:val="24"/>
                <w:lang w:eastAsia="uk-UA"/>
              </w:rPr>
            </w:pPr>
            <w:r w:rsidRPr="00C603D6">
              <w:rPr>
                <w:rFonts w:ascii="Times New Roman" w:eastAsia="Times New Roman" w:hAnsi="Times New Roman" w:cs="Times New Roman"/>
                <w:color w:val="333333"/>
                <w:sz w:val="24"/>
                <w:szCs w:val="24"/>
                <w:lang w:eastAsia="uk-UA"/>
              </w:rPr>
              <w:t>Альтернатива 4</w:t>
            </w:r>
          </w:p>
        </w:tc>
        <w:tc>
          <w:tcPr>
            <w:tcW w:w="24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C603D6"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C603D6">
              <w:rPr>
                <w:rFonts w:ascii="Times New Roman" w:eastAsia="Times New Roman" w:hAnsi="Times New Roman" w:cs="Times New Roman"/>
                <w:color w:val="333333"/>
                <w:sz w:val="24"/>
                <w:szCs w:val="24"/>
                <w:lang w:eastAsia="uk-UA"/>
              </w:rPr>
              <w:t>4</w:t>
            </w:r>
          </w:p>
        </w:tc>
        <w:tc>
          <w:tcPr>
            <w:tcW w:w="4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C603D6" w:rsidRDefault="004C2FD0" w:rsidP="002D1EA2">
            <w:pPr>
              <w:spacing w:after="0" w:line="240" w:lineRule="auto"/>
              <w:rPr>
                <w:rFonts w:ascii="Times New Roman" w:eastAsia="Times New Roman" w:hAnsi="Times New Roman" w:cs="Times New Roman"/>
                <w:color w:val="333333"/>
                <w:sz w:val="24"/>
                <w:szCs w:val="24"/>
                <w:lang w:eastAsia="uk-UA"/>
              </w:rPr>
            </w:pPr>
            <w:r w:rsidRPr="00C603D6">
              <w:rPr>
                <w:rFonts w:ascii="Times New Roman" w:eastAsia="Times New Roman" w:hAnsi="Times New Roman" w:cs="Times New Roman"/>
                <w:color w:val="333333"/>
                <w:sz w:val="24"/>
                <w:szCs w:val="24"/>
                <w:lang w:eastAsia="uk-UA"/>
              </w:rPr>
              <w:t xml:space="preserve">Цілі </w:t>
            </w:r>
            <w:r w:rsidR="002D1EA2">
              <w:rPr>
                <w:rFonts w:ascii="Times New Roman" w:eastAsia="Times New Roman" w:hAnsi="Times New Roman" w:cs="Times New Roman"/>
                <w:color w:val="333333"/>
                <w:sz w:val="24"/>
                <w:szCs w:val="24"/>
                <w:lang w:eastAsia="uk-UA"/>
              </w:rPr>
              <w:t>прийняття</w:t>
            </w:r>
            <w:r w:rsidRPr="00C603D6">
              <w:rPr>
                <w:rFonts w:ascii="Times New Roman" w:eastAsia="Times New Roman" w:hAnsi="Times New Roman" w:cs="Times New Roman"/>
                <w:color w:val="333333"/>
                <w:sz w:val="24"/>
                <w:szCs w:val="24"/>
                <w:lang w:eastAsia="uk-UA"/>
              </w:rPr>
              <w:t xml:space="preserve"> регуляторного акта можуть бути досягнуті повною мірою. Податок сплачується в однаковому </w:t>
            </w:r>
            <w:r w:rsidRPr="00C603D6">
              <w:rPr>
                <w:rFonts w:ascii="Times New Roman" w:eastAsia="Times New Roman" w:hAnsi="Times New Roman" w:cs="Times New Roman"/>
                <w:color w:val="333333"/>
                <w:sz w:val="24"/>
                <w:szCs w:val="24"/>
                <w:lang w:eastAsia="uk-UA"/>
              </w:rPr>
              <w:lastRenderedPageBreak/>
              <w:t>розмірі для об’єктів нерухомості незалежно від місць їх розташування (за розміром ставки для І зональності), але має чітку диференціацію за типом нерухомості.</w:t>
            </w:r>
          </w:p>
          <w:p w:rsidR="004C2FD0" w:rsidRPr="00C603D6" w:rsidRDefault="004C2FD0" w:rsidP="002D1EA2">
            <w:pPr>
              <w:spacing w:after="135" w:line="240" w:lineRule="auto"/>
              <w:rPr>
                <w:rFonts w:ascii="Times New Roman" w:eastAsia="Times New Roman" w:hAnsi="Times New Roman" w:cs="Times New Roman"/>
                <w:color w:val="333333"/>
                <w:sz w:val="24"/>
                <w:szCs w:val="24"/>
                <w:lang w:eastAsia="uk-UA"/>
              </w:rPr>
            </w:pPr>
            <w:r w:rsidRPr="00C603D6">
              <w:rPr>
                <w:rFonts w:ascii="Times New Roman" w:eastAsia="Times New Roman" w:hAnsi="Times New Roman" w:cs="Times New Roman"/>
                <w:color w:val="333333"/>
                <w:sz w:val="24"/>
                <w:szCs w:val="24"/>
                <w:lang w:eastAsia="uk-UA"/>
              </w:rPr>
              <w:t xml:space="preserve">Прогнозні надходження від запропонованого регулювання понад </w:t>
            </w:r>
            <w:r w:rsidR="002D1EA2">
              <w:rPr>
                <w:rFonts w:ascii="Times New Roman" w:eastAsia="Times New Roman" w:hAnsi="Times New Roman" w:cs="Times New Roman"/>
                <w:color w:val="333333"/>
                <w:sz w:val="24"/>
                <w:szCs w:val="24"/>
                <w:lang w:eastAsia="uk-UA"/>
              </w:rPr>
              <w:t xml:space="preserve">49,0 </w:t>
            </w:r>
            <w:proofErr w:type="spellStart"/>
            <w:r w:rsidR="002D1EA2">
              <w:rPr>
                <w:rFonts w:ascii="Times New Roman" w:eastAsia="Times New Roman" w:hAnsi="Times New Roman" w:cs="Times New Roman"/>
                <w:color w:val="333333"/>
                <w:sz w:val="24"/>
                <w:szCs w:val="24"/>
                <w:lang w:eastAsia="uk-UA"/>
              </w:rPr>
              <w:t>млн</w:t>
            </w:r>
            <w:r w:rsidR="008E2F86">
              <w:rPr>
                <w:rFonts w:ascii="Times New Roman" w:eastAsia="Times New Roman" w:hAnsi="Times New Roman" w:cs="Times New Roman"/>
                <w:color w:val="333333"/>
                <w:sz w:val="24"/>
                <w:szCs w:val="24"/>
                <w:lang w:eastAsia="uk-UA"/>
              </w:rPr>
              <w:t>.грн</w:t>
            </w:r>
            <w:proofErr w:type="spellEnd"/>
            <w:r w:rsidRPr="00C603D6">
              <w:rPr>
                <w:rFonts w:ascii="Times New Roman" w:eastAsia="Times New Roman" w:hAnsi="Times New Roman" w:cs="Times New Roman"/>
                <w:color w:val="333333"/>
                <w:sz w:val="24"/>
                <w:szCs w:val="24"/>
                <w:lang w:eastAsia="uk-UA"/>
              </w:rPr>
              <w:t xml:space="preserve">, що  забезпечить фінансування соціально важливих цільових </w:t>
            </w:r>
            <w:r w:rsidR="002D1EA2">
              <w:rPr>
                <w:rFonts w:ascii="Times New Roman" w:eastAsia="Times New Roman" w:hAnsi="Times New Roman" w:cs="Times New Roman"/>
                <w:color w:val="333333"/>
                <w:sz w:val="24"/>
                <w:szCs w:val="24"/>
                <w:lang w:eastAsia="uk-UA"/>
              </w:rPr>
              <w:t>п</w:t>
            </w:r>
            <w:r w:rsidRPr="00C603D6">
              <w:rPr>
                <w:rFonts w:ascii="Times New Roman" w:eastAsia="Times New Roman" w:hAnsi="Times New Roman" w:cs="Times New Roman"/>
                <w:color w:val="333333"/>
                <w:sz w:val="24"/>
                <w:szCs w:val="24"/>
                <w:lang w:eastAsia="uk-UA"/>
              </w:rPr>
              <w:t>рог</w:t>
            </w:r>
            <w:r w:rsidR="002D1EA2">
              <w:rPr>
                <w:rFonts w:ascii="Times New Roman" w:eastAsia="Times New Roman" w:hAnsi="Times New Roman" w:cs="Times New Roman"/>
                <w:color w:val="333333"/>
                <w:sz w:val="24"/>
                <w:szCs w:val="24"/>
                <w:lang w:eastAsia="uk-UA"/>
              </w:rPr>
              <w:t>рам.</w:t>
            </w:r>
            <w:r w:rsidRPr="00C603D6">
              <w:rPr>
                <w:rFonts w:ascii="Times New Roman" w:eastAsia="Times New Roman" w:hAnsi="Times New Roman" w:cs="Times New Roman"/>
                <w:color w:val="333333"/>
                <w:sz w:val="24"/>
                <w:szCs w:val="24"/>
                <w:lang w:eastAsia="uk-UA"/>
              </w:rPr>
              <w:t xml:space="preserve"> </w:t>
            </w:r>
          </w:p>
        </w:tc>
      </w:tr>
    </w:tbl>
    <w:p w:rsidR="004C2FD0" w:rsidRPr="00C603D6" w:rsidRDefault="004C2FD0" w:rsidP="004C2FD0">
      <w:pPr>
        <w:shd w:val="clear" w:color="auto" w:fill="FFFFFF"/>
        <w:spacing w:after="135" w:line="240" w:lineRule="auto"/>
        <w:jc w:val="center"/>
        <w:rPr>
          <w:rFonts w:ascii="Times New Roman" w:eastAsia="Times New Roman" w:hAnsi="Times New Roman" w:cs="Times New Roman"/>
          <w:color w:val="333333"/>
          <w:sz w:val="24"/>
          <w:szCs w:val="24"/>
          <w:lang w:eastAsia="uk-UA"/>
        </w:rPr>
      </w:pPr>
      <w:r w:rsidRPr="00C603D6">
        <w:rPr>
          <w:rFonts w:ascii="Times New Roman" w:eastAsia="Times New Roman" w:hAnsi="Times New Roman" w:cs="Times New Roman"/>
          <w:b/>
          <w:bCs/>
          <w:color w:val="333333"/>
          <w:sz w:val="24"/>
          <w:szCs w:val="24"/>
          <w:lang w:eastAsia="uk-UA"/>
        </w:rPr>
        <w:lastRenderedPageBreak/>
        <w:t>Оцінка впливу регуляторного акта на конкуренцію в рамках проведення аналізу регуляторного впливу*</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732"/>
        <w:gridCol w:w="1923"/>
      </w:tblGrid>
      <w:tr w:rsidR="004C2FD0" w:rsidRPr="00C603D6" w:rsidTr="004C2FD0">
        <w:tc>
          <w:tcPr>
            <w:tcW w:w="79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C603D6"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C603D6">
              <w:rPr>
                <w:rFonts w:ascii="Times New Roman" w:eastAsia="Times New Roman" w:hAnsi="Times New Roman" w:cs="Times New Roman"/>
                <w:b/>
                <w:bCs/>
                <w:i/>
                <w:iCs/>
                <w:color w:val="333333"/>
                <w:sz w:val="24"/>
                <w:szCs w:val="24"/>
                <w:lang w:eastAsia="uk-UA"/>
              </w:rPr>
              <w:t>Категорія впливу</w:t>
            </w:r>
          </w:p>
          <w:p w:rsidR="004C2FD0" w:rsidRPr="00C603D6" w:rsidRDefault="004C2FD0" w:rsidP="004C2FD0">
            <w:pPr>
              <w:spacing w:after="135" w:line="240" w:lineRule="auto"/>
              <w:rPr>
                <w:rFonts w:ascii="Times New Roman" w:eastAsia="Times New Roman" w:hAnsi="Times New Roman" w:cs="Times New Roman"/>
                <w:color w:val="333333"/>
                <w:sz w:val="24"/>
                <w:szCs w:val="24"/>
                <w:lang w:eastAsia="uk-UA"/>
              </w:rPr>
            </w:pPr>
            <w:r w:rsidRPr="00C603D6">
              <w:rPr>
                <w:rFonts w:ascii="Times New Roman" w:eastAsia="Times New Roman" w:hAnsi="Times New Roman" w:cs="Times New Roman"/>
                <w:color w:val="333333"/>
                <w:sz w:val="24"/>
                <w:szCs w:val="24"/>
                <w:lang w:eastAsia="uk-UA"/>
              </w:rPr>
              <w:t> </w:t>
            </w:r>
          </w:p>
        </w:tc>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C603D6"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C603D6">
              <w:rPr>
                <w:rFonts w:ascii="Times New Roman" w:eastAsia="Times New Roman" w:hAnsi="Times New Roman" w:cs="Times New Roman"/>
                <w:b/>
                <w:bCs/>
                <w:i/>
                <w:iCs/>
                <w:color w:val="333333"/>
                <w:sz w:val="24"/>
                <w:szCs w:val="24"/>
                <w:lang w:eastAsia="uk-UA"/>
              </w:rPr>
              <w:t>Відповідь</w:t>
            </w:r>
          </w:p>
        </w:tc>
      </w:tr>
      <w:tr w:rsidR="004C2FD0" w:rsidRPr="002D1EA2" w:rsidTr="004C2FD0">
        <w:tc>
          <w:tcPr>
            <w:tcW w:w="79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А. Обмежує кількість або звужує коло постачальників.</w:t>
            </w:r>
          </w:p>
          <w:p w:rsidR="004C2FD0" w:rsidRPr="002D1EA2" w:rsidRDefault="004C2FD0" w:rsidP="002D1EA2">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Такий наслідок може настати, якщо регуляторна пропозиція:</w:t>
            </w:r>
            <w:r w:rsidR="002D1EA2">
              <w:rPr>
                <w:rFonts w:ascii="Times New Roman" w:eastAsia="Times New Roman" w:hAnsi="Times New Roman" w:cs="Times New Roman"/>
                <w:color w:val="333333"/>
                <w:sz w:val="24"/>
                <w:szCs w:val="24"/>
                <w:lang w:eastAsia="uk-UA"/>
              </w:rPr>
              <w:t xml:space="preserve"> </w:t>
            </w:r>
          </w:p>
        </w:tc>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Ні</w:t>
            </w:r>
          </w:p>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tc>
      </w:tr>
      <w:tr w:rsidR="004C2FD0" w:rsidRPr="002D1EA2" w:rsidTr="004C2FD0">
        <w:tc>
          <w:tcPr>
            <w:tcW w:w="79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2D1EA2">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1. Надає суб’єкту господарювання виключні права на поставку товарів чи послуг</w:t>
            </w:r>
            <w:r w:rsidR="002D1EA2">
              <w:rPr>
                <w:rFonts w:ascii="Times New Roman" w:eastAsia="Times New Roman" w:hAnsi="Times New Roman" w:cs="Times New Roman"/>
                <w:color w:val="333333"/>
                <w:sz w:val="24"/>
                <w:szCs w:val="24"/>
                <w:lang w:eastAsia="uk-UA"/>
              </w:rPr>
              <w:t xml:space="preserve"> </w:t>
            </w:r>
            <w:r w:rsidRPr="002D1EA2">
              <w:rPr>
                <w:rFonts w:ascii="Times New Roman" w:eastAsia="Times New Roman" w:hAnsi="Times New Roman" w:cs="Times New Roman"/>
                <w:color w:val="333333"/>
                <w:sz w:val="24"/>
                <w:szCs w:val="24"/>
                <w:lang w:eastAsia="uk-UA"/>
              </w:rPr>
              <w:t> </w:t>
            </w:r>
          </w:p>
        </w:tc>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Ні</w:t>
            </w:r>
          </w:p>
        </w:tc>
      </w:tr>
      <w:tr w:rsidR="004C2FD0" w:rsidRPr="002D1EA2" w:rsidTr="004C2FD0">
        <w:tc>
          <w:tcPr>
            <w:tcW w:w="79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2D1EA2">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2. Запроваджує режим ліцензування, надання дозволу або вимогу погодження підприємницької діяльності з органами влади </w:t>
            </w:r>
          </w:p>
        </w:tc>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Ні</w:t>
            </w:r>
          </w:p>
        </w:tc>
      </w:tr>
      <w:tr w:rsidR="004C2FD0" w:rsidRPr="002D1EA2" w:rsidTr="004C2FD0">
        <w:tc>
          <w:tcPr>
            <w:tcW w:w="79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2D1EA2">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3. Обмежує здатність окремих категорій підприємців постачати товари чи надавати послуги (звужує коло учасників ринку)</w:t>
            </w:r>
            <w:r w:rsidR="002D1EA2">
              <w:rPr>
                <w:rFonts w:ascii="Times New Roman" w:eastAsia="Times New Roman" w:hAnsi="Times New Roman" w:cs="Times New Roman"/>
                <w:color w:val="333333"/>
                <w:sz w:val="24"/>
                <w:szCs w:val="24"/>
                <w:lang w:eastAsia="uk-UA"/>
              </w:rPr>
              <w:t xml:space="preserve"> </w:t>
            </w:r>
            <w:r w:rsidRPr="002D1EA2">
              <w:rPr>
                <w:rFonts w:ascii="Times New Roman" w:eastAsia="Times New Roman" w:hAnsi="Times New Roman" w:cs="Times New Roman"/>
                <w:color w:val="333333"/>
                <w:sz w:val="24"/>
                <w:szCs w:val="24"/>
                <w:lang w:eastAsia="uk-UA"/>
              </w:rPr>
              <w:t> </w:t>
            </w:r>
          </w:p>
        </w:tc>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Ні</w:t>
            </w:r>
          </w:p>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tc>
      </w:tr>
      <w:tr w:rsidR="004C2FD0" w:rsidRPr="002D1EA2" w:rsidTr="004C2FD0">
        <w:tc>
          <w:tcPr>
            <w:tcW w:w="79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2D1EA2">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4. Значно підвищує вартість входження в ринок або виходу з нього</w:t>
            </w:r>
            <w:r w:rsidR="002D1EA2">
              <w:rPr>
                <w:rFonts w:ascii="Times New Roman" w:eastAsia="Times New Roman" w:hAnsi="Times New Roman" w:cs="Times New Roman"/>
                <w:color w:val="333333"/>
                <w:sz w:val="24"/>
                <w:szCs w:val="24"/>
                <w:lang w:eastAsia="uk-UA"/>
              </w:rPr>
              <w:t xml:space="preserve"> </w:t>
            </w:r>
            <w:r w:rsidRPr="002D1EA2">
              <w:rPr>
                <w:rFonts w:ascii="Times New Roman" w:eastAsia="Times New Roman" w:hAnsi="Times New Roman" w:cs="Times New Roman"/>
                <w:color w:val="333333"/>
                <w:sz w:val="24"/>
                <w:szCs w:val="24"/>
                <w:lang w:eastAsia="uk-UA"/>
              </w:rPr>
              <w:t> </w:t>
            </w:r>
          </w:p>
        </w:tc>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Ні</w:t>
            </w:r>
          </w:p>
        </w:tc>
      </w:tr>
      <w:tr w:rsidR="004C2FD0" w:rsidRPr="002D1EA2" w:rsidTr="004C2FD0">
        <w:tc>
          <w:tcPr>
            <w:tcW w:w="79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2D1EA2">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5. Створює географічний бар’єр для постачання товарів, виконання робіт, надання послуг або інвестицій</w:t>
            </w:r>
            <w:r w:rsidR="002D1EA2">
              <w:rPr>
                <w:rFonts w:ascii="Times New Roman" w:eastAsia="Times New Roman" w:hAnsi="Times New Roman" w:cs="Times New Roman"/>
                <w:color w:val="333333"/>
                <w:sz w:val="24"/>
                <w:szCs w:val="24"/>
                <w:lang w:eastAsia="uk-UA"/>
              </w:rPr>
              <w:t xml:space="preserve"> </w:t>
            </w:r>
            <w:r w:rsidRPr="002D1EA2">
              <w:rPr>
                <w:rFonts w:ascii="Times New Roman" w:eastAsia="Times New Roman" w:hAnsi="Times New Roman" w:cs="Times New Roman"/>
                <w:color w:val="333333"/>
                <w:sz w:val="24"/>
                <w:szCs w:val="24"/>
                <w:lang w:eastAsia="uk-UA"/>
              </w:rPr>
              <w:t> </w:t>
            </w:r>
          </w:p>
        </w:tc>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Ні</w:t>
            </w:r>
          </w:p>
        </w:tc>
      </w:tr>
      <w:tr w:rsidR="004C2FD0" w:rsidRPr="002D1EA2" w:rsidTr="004C2FD0">
        <w:tc>
          <w:tcPr>
            <w:tcW w:w="79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2D1EA2">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Б. Обмежує здатність постачальників конкурувати.</w:t>
            </w:r>
            <w:r w:rsidR="002D1EA2">
              <w:rPr>
                <w:rFonts w:ascii="Times New Roman" w:eastAsia="Times New Roman" w:hAnsi="Times New Roman" w:cs="Times New Roman"/>
                <w:color w:val="333333"/>
                <w:sz w:val="24"/>
                <w:szCs w:val="24"/>
                <w:lang w:eastAsia="uk-UA"/>
              </w:rPr>
              <w:t xml:space="preserve"> </w:t>
            </w:r>
            <w:r w:rsidRPr="002D1EA2">
              <w:rPr>
                <w:rFonts w:ascii="Times New Roman" w:eastAsia="Times New Roman" w:hAnsi="Times New Roman" w:cs="Times New Roman"/>
                <w:color w:val="333333"/>
                <w:sz w:val="24"/>
                <w:szCs w:val="24"/>
                <w:lang w:eastAsia="uk-UA"/>
              </w:rPr>
              <w:t>Такий наслідок може настати, якщо регуляторна пропозиція:</w:t>
            </w:r>
          </w:p>
        </w:tc>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Ні</w:t>
            </w:r>
          </w:p>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tc>
      </w:tr>
      <w:tr w:rsidR="004C2FD0" w:rsidRPr="002D1EA2" w:rsidTr="004C2FD0">
        <w:tc>
          <w:tcPr>
            <w:tcW w:w="79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2D1EA2">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1. Обмежує здатність підприємців визначати ціни на товари та послуги </w:t>
            </w:r>
          </w:p>
        </w:tc>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Ні</w:t>
            </w:r>
          </w:p>
        </w:tc>
      </w:tr>
      <w:tr w:rsidR="004C2FD0" w:rsidRPr="002D1EA2" w:rsidTr="004C2FD0">
        <w:tc>
          <w:tcPr>
            <w:tcW w:w="79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2D1EA2">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2. Обмежує можливість постачальників рекламувати або здійснювати маркетинг товарів чи послуг </w:t>
            </w:r>
          </w:p>
        </w:tc>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Ні</w:t>
            </w:r>
          </w:p>
        </w:tc>
      </w:tr>
      <w:tr w:rsidR="004C2FD0" w:rsidRPr="002D1EA2" w:rsidTr="004C2FD0">
        <w:tc>
          <w:tcPr>
            <w:tcW w:w="79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2D1EA2">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3. Установлює стандарти якості, що надають необґрунтовану перевагу окремим постачальникам порівняно з іншими, або стандарти вищого рівня якості ніж той, який обрали б окремі достатньо поінформовані споживачі</w:t>
            </w:r>
            <w:r w:rsidR="002D1EA2">
              <w:rPr>
                <w:rFonts w:ascii="Times New Roman" w:eastAsia="Times New Roman" w:hAnsi="Times New Roman" w:cs="Times New Roman"/>
                <w:color w:val="333333"/>
                <w:sz w:val="24"/>
                <w:szCs w:val="24"/>
                <w:lang w:eastAsia="uk-UA"/>
              </w:rPr>
              <w:t xml:space="preserve"> </w:t>
            </w:r>
            <w:r w:rsidRPr="002D1EA2">
              <w:rPr>
                <w:rFonts w:ascii="Times New Roman" w:eastAsia="Times New Roman" w:hAnsi="Times New Roman" w:cs="Times New Roman"/>
                <w:color w:val="333333"/>
                <w:sz w:val="24"/>
                <w:szCs w:val="24"/>
                <w:lang w:eastAsia="uk-UA"/>
              </w:rPr>
              <w:t> </w:t>
            </w:r>
          </w:p>
        </w:tc>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Ні</w:t>
            </w:r>
          </w:p>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tc>
      </w:tr>
      <w:tr w:rsidR="004C2FD0" w:rsidRPr="002D1EA2" w:rsidTr="004C2FD0">
        <w:tc>
          <w:tcPr>
            <w:tcW w:w="79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2D1EA2">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4. Суттєво збільшує витрати окремих суб’єктів підприємництва порівняно з іншими (зокрема внаслідок дискримінаційного ставлення до діючих та нових учасників ринку) </w:t>
            </w:r>
          </w:p>
        </w:tc>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Ні</w:t>
            </w:r>
          </w:p>
        </w:tc>
      </w:tr>
      <w:tr w:rsidR="004C2FD0" w:rsidRPr="002D1EA2" w:rsidTr="004C2FD0">
        <w:tc>
          <w:tcPr>
            <w:tcW w:w="79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2D1EA2">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xml:space="preserve">В. Зменшує мотивацію постачальників до активної </w:t>
            </w:r>
            <w:proofErr w:type="spellStart"/>
            <w:r w:rsidRPr="002D1EA2">
              <w:rPr>
                <w:rFonts w:ascii="Times New Roman" w:eastAsia="Times New Roman" w:hAnsi="Times New Roman" w:cs="Times New Roman"/>
                <w:color w:val="333333"/>
                <w:sz w:val="24"/>
                <w:szCs w:val="24"/>
                <w:lang w:eastAsia="uk-UA"/>
              </w:rPr>
              <w:t>конкуренції.Такий</w:t>
            </w:r>
            <w:proofErr w:type="spellEnd"/>
            <w:r w:rsidRPr="002D1EA2">
              <w:rPr>
                <w:rFonts w:ascii="Times New Roman" w:eastAsia="Times New Roman" w:hAnsi="Times New Roman" w:cs="Times New Roman"/>
                <w:color w:val="333333"/>
                <w:sz w:val="24"/>
                <w:szCs w:val="24"/>
                <w:lang w:eastAsia="uk-UA"/>
              </w:rPr>
              <w:t xml:space="preserve"> наслідок може настати, якщо регуляторна пропозиція: </w:t>
            </w:r>
          </w:p>
        </w:tc>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Ні</w:t>
            </w:r>
          </w:p>
        </w:tc>
      </w:tr>
      <w:tr w:rsidR="004C2FD0" w:rsidRPr="002D1EA2" w:rsidTr="004C2FD0">
        <w:tc>
          <w:tcPr>
            <w:tcW w:w="79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2D1EA2">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1. Запроваджує режим саморегулювання або спільного регулювання</w:t>
            </w:r>
            <w:r w:rsidR="002D1EA2">
              <w:rPr>
                <w:rFonts w:ascii="Times New Roman" w:eastAsia="Times New Roman" w:hAnsi="Times New Roman" w:cs="Times New Roman"/>
                <w:color w:val="333333"/>
                <w:sz w:val="24"/>
                <w:szCs w:val="24"/>
                <w:lang w:eastAsia="uk-UA"/>
              </w:rPr>
              <w:t xml:space="preserve"> </w:t>
            </w:r>
            <w:r w:rsidRPr="002D1EA2">
              <w:rPr>
                <w:rFonts w:ascii="Times New Roman" w:eastAsia="Times New Roman" w:hAnsi="Times New Roman" w:cs="Times New Roman"/>
                <w:color w:val="333333"/>
                <w:sz w:val="24"/>
                <w:szCs w:val="24"/>
                <w:lang w:eastAsia="uk-UA"/>
              </w:rPr>
              <w:t> </w:t>
            </w:r>
          </w:p>
        </w:tc>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Ні</w:t>
            </w:r>
          </w:p>
        </w:tc>
      </w:tr>
      <w:tr w:rsidR="004C2FD0" w:rsidRPr="002D1EA2" w:rsidTr="004C2FD0">
        <w:tc>
          <w:tcPr>
            <w:tcW w:w="79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2D1EA2">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2. Вимагає або заохочує публікувати інформацію про обсяги виробництва чи реалізацію, ціни та витрати підприємств </w:t>
            </w:r>
          </w:p>
        </w:tc>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Ні</w:t>
            </w:r>
          </w:p>
        </w:tc>
      </w:tr>
      <w:tr w:rsidR="004C2FD0" w:rsidRPr="002D1EA2" w:rsidTr="004C2FD0">
        <w:tc>
          <w:tcPr>
            <w:tcW w:w="79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2D1EA2">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xml:space="preserve">Г. Обмежує вибір та доступ споживачів до необхідної </w:t>
            </w:r>
            <w:proofErr w:type="spellStart"/>
            <w:r w:rsidRPr="002D1EA2">
              <w:rPr>
                <w:rFonts w:ascii="Times New Roman" w:eastAsia="Times New Roman" w:hAnsi="Times New Roman" w:cs="Times New Roman"/>
                <w:color w:val="333333"/>
                <w:sz w:val="24"/>
                <w:szCs w:val="24"/>
                <w:lang w:eastAsia="uk-UA"/>
              </w:rPr>
              <w:t>інформації.Такий</w:t>
            </w:r>
            <w:proofErr w:type="spellEnd"/>
            <w:r w:rsidRPr="002D1EA2">
              <w:rPr>
                <w:rFonts w:ascii="Times New Roman" w:eastAsia="Times New Roman" w:hAnsi="Times New Roman" w:cs="Times New Roman"/>
                <w:color w:val="333333"/>
                <w:sz w:val="24"/>
                <w:szCs w:val="24"/>
                <w:lang w:eastAsia="uk-UA"/>
              </w:rPr>
              <w:t xml:space="preserve"> наслідок може настати, якщо регуляторна пропозиція: </w:t>
            </w:r>
          </w:p>
        </w:tc>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Ні</w:t>
            </w:r>
          </w:p>
        </w:tc>
      </w:tr>
      <w:tr w:rsidR="004C2FD0" w:rsidRPr="002D1EA2" w:rsidTr="004C2FD0">
        <w:tc>
          <w:tcPr>
            <w:tcW w:w="79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2D1EA2">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lastRenderedPageBreak/>
              <w:t>1. Обмежує здатність споживачів вирішувати в кого купувати товар </w:t>
            </w:r>
          </w:p>
        </w:tc>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Ні</w:t>
            </w:r>
          </w:p>
        </w:tc>
      </w:tr>
      <w:tr w:rsidR="004C2FD0" w:rsidRPr="002D1EA2" w:rsidTr="004C2FD0">
        <w:tc>
          <w:tcPr>
            <w:tcW w:w="79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2D1EA2">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2. Знижує мобільність споживачів унаслідок підвищення прямих або непрямих витрат на заміну постачальника</w:t>
            </w:r>
          </w:p>
        </w:tc>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Ні</w:t>
            </w:r>
          </w:p>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tc>
      </w:tr>
      <w:tr w:rsidR="004C2FD0" w:rsidRPr="002D1EA2" w:rsidTr="004C2FD0">
        <w:tc>
          <w:tcPr>
            <w:tcW w:w="79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2D1EA2">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3. Суттєво обмежує чи змінює інформацію, необхідну для ухвалення раціонального рішення щодо придбання чи продажу товарів </w:t>
            </w:r>
          </w:p>
        </w:tc>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Ні</w:t>
            </w:r>
          </w:p>
        </w:tc>
      </w:tr>
    </w:tbl>
    <w:p w:rsidR="004C2FD0" w:rsidRPr="002D1EA2" w:rsidRDefault="004C2FD0" w:rsidP="004C2FD0">
      <w:pPr>
        <w:shd w:val="clear" w:color="auto" w:fill="FFFFFF"/>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r w:rsidRPr="002D1EA2">
        <w:rPr>
          <w:rFonts w:ascii="Times New Roman" w:eastAsia="Times New Roman" w:hAnsi="Times New Roman" w:cs="Times New Roman"/>
          <w:i/>
          <w:iCs/>
          <w:color w:val="333333"/>
          <w:sz w:val="24"/>
          <w:szCs w:val="24"/>
          <w:lang w:eastAsia="uk-UA"/>
        </w:rPr>
        <w:t>*Визначено за консультаціями з представниками бюджетонаповнюючих підприємств, депутатами, представниками жителів, представниками податкової служби.</w:t>
      </w:r>
    </w:p>
    <w:tbl>
      <w:tblPr>
        <w:tblW w:w="4996" w:type="pct"/>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1709"/>
        <w:gridCol w:w="2924"/>
        <w:gridCol w:w="2410"/>
        <w:gridCol w:w="2604"/>
      </w:tblGrid>
      <w:tr w:rsidR="004C2FD0" w:rsidRPr="002D1EA2" w:rsidTr="00FC4472">
        <w:tc>
          <w:tcPr>
            <w:tcW w:w="1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r w:rsidRPr="002D1EA2">
              <w:rPr>
                <w:rFonts w:ascii="Times New Roman" w:eastAsia="Times New Roman" w:hAnsi="Times New Roman" w:cs="Times New Roman"/>
                <w:b/>
                <w:bCs/>
                <w:i/>
                <w:iCs/>
                <w:color w:val="333333"/>
                <w:sz w:val="24"/>
                <w:szCs w:val="24"/>
                <w:lang w:eastAsia="uk-UA"/>
              </w:rPr>
              <w:t>Рейтинг результативності</w:t>
            </w:r>
          </w:p>
        </w:tc>
        <w:tc>
          <w:tcPr>
            <w:tcW w:w="29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Вигоди (підсумок)</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Витрати (підсумок)</w:t>
            </w:r>
          </w:p>
        </w:tc>
        <w:tc>
          <w:tcPr>
            <w:tcW w:w="26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Обґрунтування відповідного місця альтернативи в рейтингу</w:t>
            </w:r>
          </w:p>
        </w:tc>
      </w:tr>
      <w:tr w:rsidR="004C2FD0" w:rsidRPr="002D1EA2" w:rsidTr="00FC4472">
        <w:tc>
          <w:tcPr>
            <w:tcW w:w="1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1</w:t>
            </w:r>
          </w:p>
        </w:tc>
        <w:tc>
          <w:tcPr>
            <w:tcW w:w="29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2</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3</w:t>
            </w:r>
          </w:p>
        </w:tc>
        <w:tc>
          <w:tcPr>
            <w:tcW w:w="26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4</w:t>
            </w:r>
          </w:p>
        </w:tc>
      </w:tr>
      <w:tr w:rsidR="004C2FD0" w:rsidRPr="002D1EA2" w:rsidTr="00FC4472">
        <w:tc>
          <w:tcPr>
            <w:tcW w:w="1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Альтернатива 1</w:t>
            </w:r>
          </w:p>
        </w:tc>
        <w:tc>
          <w:tcPr>
            <w:tcW w:w="29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Вигода власників нерухомості.</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2D1EA2">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Недоотримання на</w:t>
            </w:r>
            <w:r w:rsidR="008E2F86">
              <w:rPr>
                <w:rFonts w:ascii="Times New Roman" w:eastAsia="Times New Roman" w:hAnsi="Times New Roman" w:cs="Times New Roman"/>
                <w:color w:val="333333"/>
                <w:sz w:val="24"/>
                <w:szCs w:val="24"/>
                <w:lang w:eastAsia="uk-UA"/>
              </w:rPr>
              <w:t>дходжень коштів до бюджету громади</w:t>
            </w:r>
            <w:r w:rsidRPr="002D1EA2">
              <w:rPr>
                <w:rFonts w:ascii="Times New Roman" w:eastAsia="Times New Roman" w:hAnsi="Times New Roman" w:cs="Times New Roman"/>
                <w:color w:val="333333"/>
                <w:sz w:val="24"/>
                <w:szCs w:val="24"/>
                <w:lang w:eastAsia="uk-UA"/>
              </w:rPr>
              <w:t xml:space="preserve"> на прогнозованому рівні </w:t>
            </w:r>
            <w:r w:rsidR="002D1EA2">
              <w:rPr>
                <w:rFonts w:ascii="Times New Roman" w:eastAsia="Times New Roman" w:hAnsi="Times New Roman" w:cs="Times New Roman"/>
                <w:color w:val="333333"/>
                <w:sz w:val="24"/>
                <w:szCs w:val="24"/>
                <w:lang w:eastAsia="uk-UA"/>
              </w:rPr>
              <w:t>49,0 млн</w:t>
            </w:r>
            <w:r w:rsidRPr="002D1EA2">
              <w:rPr>
                <w:rFonts w:ascii="Times New Roman" w:eastAsia="Times New Roman" w:hAnsi="Times New Roman" w:cs="Times New Roman"/>
                <w:color w:val="333333"/>
                <w:sz w:val="24"/>
                <w:szCs w:val="24"/>
                <w:lang w:eastAsia="uk-UA"/>
              </w:rPr>
              <w:t>. грн.</w:t>
            </w:r>
          </w:p>
        </w:tc>
        <w:tc>
          <w:tcPr>
            <w:tcW w:w="26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Альтернатива не прийнятна – не досягаються цілі ухвалення акта.</w:t>
            </w:r>
          </w:p>
          <w:p w:rsidR="004C2FD0" w:rsidRPr="002D1EA2" w:rsidRDefault="004C2FD0" w:rsidP="00826EB9">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Негативний вплив буде завд</w:t>
            </w:r>
            <w:r w:rsidR="008E2F86">
              <w:rPr>
                <w:rFonts w:ascii="Times New Roman" w:eastAsia="Times New Roman" w:hAnsi="Times New Roman" w:cs="Times New Roman"/>
                <w:color w:val="333333"/>
                <w:sz w:val="24"/>
                <w:szCs w:val="24"/>
                <w:lang w:eastAsia="uk-UA"/>
              </w:rPr>
              <w:t xml:space="preserve">ано територіальній громаді </w:t>
            </w:r>
            <w:r w:rsidRPr="002D1EA2">
              <w:rPr>
                <w:rFonts w:ascii="Times New Roman" w:eastAsia="Times New Roman" w:hAnsi="Times New Roman" w:cs="Times New Roman"/>
                <w:color w:val="333333"/>
                <w:sz w:val="24"/>
                <w:szCs w:val="24"/>
                <w:lang w:eastAsia="uk-UA"/>
              </w:rPr>
              <w:t>, оскільки відсутн</w:t>
            </w:r>
            <w:r w:rsidR="008E2F86">
              <w:rPr>
                <w:rFonts w:ascii="Times New Roman" w:eastAsia="Times New Roman" w:hAnsi="Times New Roman" w:cs="Times New Roman"/>
                <w:color w:val="333333"/>
                <w:sz w:val="24"/>
                <w:szCs w:val="24"/>
                <w:lang w:eastAsia="uk-UA"/>
              </w:rPr>
              <w:t>ість надходжень до бюджету громади</w:t>
            </w:r>
            <w:r w:rsidRPr="002D1EA2">
              <w:rPr>
                <w:rFonts w:ascii="Times New Roman" w:eastAsia="Times New Roman" w:hAnsi="Times New Roman" w:cs="Times New Roman"/>
                <w:color w:val="333333"/>
                <w:sz w:val="24"/>
                <w:szCs w:val="24"/>
                <w:lang w:eastAsia="uk-UA"/>
              </w:rPr>
              <w:t xml:space="preserve"> </w:t>
            </w:r>
            <w:r w:rsidR="002D1EA2">
              <w:rPr>
                <w:rFonts w:ascii="Times New Roman" w:eastAsia="Times New Roman" w:hAnsi="Times New Roman" w:cs="Times New Roman"/>
                <w:color w:val="333333"/>
                <w:sz w:val="24"/>
                <w:szCs w:val="24"/>
                <w:lang w:eastAsia="uk-UA"/>
              </w:rPr>
              <w:t xml:space="preserve">49,0 </w:t>
            </w:r>
            <w:proofErr w:type="spellStart"/>
            <w:r w:rsidR="002D1EA2">
              <w:rPr>
                <w:rFonts w:ascii="Times New Roman" w:eastAsia="Times New Roman" w:hAnsi="Times New Roman" w:cs="Times New Roman"/>
                <w:color w:val="333333"/>
                <w:sz w:val="24"/>
                <w:szCs w:val="24"/>
                <w:lang w:eastAsia="uk-UA"/>
              </w:rPr>
              <w:t>млн</w:t>
            </w:r>
            <w:r w:rsidRPr="002D1EA2">
              <w:rPr>
                <w:rFonts w:ascii="Times New Roman" w:eastAsia="Times New Roman" w:hAnsi="Times New Roman" w:cs="Times New Roman"/>
                <w:color w:val="333333"/>
                <w:sz w:val="24"/>
                <w:szCs w:val="24"/>
                <w:lang w:eastAsia="uk-UA"/>
              </w:rPr>
              <w:t>.грн</w:t>
            </w:r>
            <w:proofErr w:type="spellEnd"/>
            <w:r w:rsidRPr="002D1EA2">
              <w:rPr>
                <w:rFonts w:ascii="Times New Roman" w:eastAsia="Times New Roman" w:hAnsi="Times New Roman" w:cs="Times New Roman"/>
                <w:color w:val="333333"/>
                <w:sz w:val="24"/>
                <w:szCs w:val="24"/>
                <w:lang w:eastAsia="uk-UA"/>
              </w:rPr>
              <w:t>. ставить під загрозу фінансування соціально важливих цільових програм</w:t>
            </w:r>
            <w:r w:rsidR="00826EB9">
              <w:rPr>
                <w:rFonts w:ascii="Times New Roman" w:eastAsia="Times New Roman" w:hAnsi="Times New Roman" w:cs="Times New Roman"/>
                <w:color w:val="333333"/>
                <w:sz w:val="24"/>
                <w:szCs w:val="24"/>
                <w:lang w:eastAsia="uk-UA"/>
              </w:rPr>
              <w:t>.</w:t>
            </w:r>
            <w:r w:rsidRPr="002D1EA2">
              <w:rPr>
                <w:rFonts w:ascii="Times New Roman" w:eastAsia="Times New Roman" w:hAnsi="Times New Roman" w:cs="Times New Roman"/>
                <w:color w:val="333333"/>
                <w:sz w:val="24"/>
                <w:szCs w:val="24"/>
                <w:lang w:eastAsia="uk-UA"/>
              </w:rPr>
              <w:t> </w:t>
            </w:r>
          </w:p>
        </w:tc>
      </w:tr>
      <w:tr w:rsidR="004C2FD0" w:rsidRPr="002D1EA2" w:rsidTr="00FC4472">
        <w:tc>
          <w:tcPr>
            <w:tcW w:w="1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Альтернатива 2</w:t>
            </w:r>
          </w:p>
        </w:tc>
        <w:tc>
          <w:tcPr>
            <w:tcW w:w="29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826EB9">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xml:space="preserve">При збільшенні прогнозованого надходження </w:t>
            </w:r>
            <w:r w:rsidR="00826EB9">
              <w:rPr>
                <w:rFonts w:ascii="Times New Roman" w:eastAsia="Times New Roman" w:hAnsi="Times New Roman" w:cs="Times New Roman"/>
                <w:color w:val="333333"/>
                <w:sz w:val="24"/>
                <w:szCs w:val="24"/>
                <w:lang w:eastAsia="uk-UA"/>
              </w:rPr>
              <w:t xml:space="preserve">49,0 </w:t>
            </w:r>
            <w:proofErr w:type="spellStart"/>
            <w:r w:rsidR="00826EB9">
              <w:rPr>
                <w:rFonts w:ascii="Times New Roman" w:eastAsia="Times New Roman" w:hAnsi="Times New Roman" w:cs="Times New Roman"/>
                <w:color w:val="333333"/>
                <w:sz w:val="24"/>
                <w:szCs w:val="24"/>
                <w:lang w:eastAsia="uk-UA"/>
              </w:rPr>
              <w:t>млн</w:t>
            </w:r>
            <w:r w:rsidRPr="002D1EA2">
              <w:rPr>
                <w:rFonts w:ascii="Times New Roman" w:eastAsia="Times New Roman" w:hAnsi="Times New Roman" w:cs="Times New Roman"/>
                <w:color w:val="333333"/>
                <w:sz w:val="24"/>
                <w:szCs w:val="24"/>
                <w:lang w:eastAsia="uk-UA"/>
              </w:rPr>
              <w:t>.грн</w:t>
            </w:r>
            <w:proofErr w:type="spellEnd"/>
            <w:r w:rsidRPr="002D1EA2">
              <w:rPr>
                <w:rFonts w:ascii="Times New Roman" w:eastAsia="Times New Roman" w:hAnsi="Times New Roman" w:cs="Times New Roman"/>
                <w:color w:val="333333"/>
                <w:sz w:val="24"/>
                <w:szCs w:val="24"/>
                <w:lang w:eastAsia="uk-UA"/>
              </w:rPr>
              <w:t xml:space="preserve">. і до бюджету </w:t>
            </w:r>
            <w:r w:rsidR="00826EB9">
              <w:rPr>
                <w:rFonts w:ascii="Times New Roman" w:eastAsia="Times New Roman" w:hAnsi="Times New Roman" w:cs="Times New Roman"/>
                <w:color w:val="333333"/>
                <w:sz w:val="24"/>
                <w:szCs w:val="24"/>
                <w:lang w:eastAsia="uk-UA"/>
              </w:rPr>
              <w:t xml:space="preserve">громади. </w:t>
            </w:r>
            <w:r w:rsidRPr="002D1EA2">
              <w:rPr>
                <w:rFonts w:ascii="Times New Roman" w:eastAsia="Times New Roman" w:hAnsi="Times New Roman" w:cs="Times New Roman"/>
                <w:color w:val="333333"/>
                <w:sz w:val="24"/>
                <w:szCs w:val="24"/>
                <w:lang w:eastAsia="uk-UA"/>
              </w:rPr>
              <w:t>При цьому втрачається інвестиційна привабливість, що позначається на зменшенні рівня підприємницької активності, відповідного скорочення ринку праці та скороченні відповідних надходжень, що в сумі не компенсує зростання від даного податку.</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Витрати, пов’язані з виконанням вимог, установлених Законом України «Про засади державної регуляторної політики в сфері господарської діяльності»; витрати на адміністрування регуляторного акта органами державної влади; максимальне податкове навантаження на платників податку.</w:t>
            </w:r>
          </w:p>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tc>
        <w:tc>
          <w:tcPr>
            <w:tcW w:w="26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Альтернатива може бути прийнятною – досягаються цілі ухвалення акта.</w:t>
            </w:r>
          </w:p>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Але, при цьому збільшується податкове навантаження, при цьому втрачається інвестиційна привабливість, що позначається на зменшенні рівня підприємницької активності, відповідного скорочення ринку праці та скороченні відповідних надходжень, що в сумі не компенсує зростання від даного податку.</w:t>
            </w:r>
          </w:p>
        </w:tc>
      </w:tr>
      <w:tr w:rsidR="004C2FD0" w:rsidRPr="002D1EA2" w:rsidTr="00FC4472">
        <w:tc>
          <w:tcPr>
            <w:tcW w:w="1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Альтернатива 3</w:t>
            </w:r>
          </w:p>
        </w:tc>
        <w:tc>
          <w:tcPr>
            <w:tcW w:w="29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826EB9">
            <w:pPr>
              <w:spacing w:after="135" w:line="240" w:lineRule="auto"/>
              <w:ind w:right="-195"/>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xml:space="preserve">Ставки податку є диференційованими з урахуванням місця </w:t>
            </w:r>
            <w:r w:rsidRPr="002D1EA2">
              <w:rPr>
                <w:rFonts w:ascii="Times New Roman" w:eastAsia="Times New Roman" w:hAnsi="Times New Roman" w:cs="Times New Roman"/>
                <w:color w:val="333333"/>
                <w:sz w:val="24"/>
                <w:szCs w:val="24"/>
                <w:lang w:eastAsia="uk-UA"/>
              </w:rPr>
              <w:lastRenderedPageBreak/>
              <w:t>розт</w:t>
            </w:r>
            <w:r w:rsidR="00826EB9">
              <w:rPr>
                <w:rFonts w:ascii="Times New Roman" w:eastAsia="Times New Roman" w:hAnsi="Times New Roman" w:cs="Times New Roman"/>
                <w:color w:val="333333"/>
                <w:sz w:val="24"/>
                <w:szCs w:val="24"/>
                <w:lang w:eastAsia="uk-UA"/>
              </w:rPr>
              <w:t>а</w:t>
            </w:r>
            <w:r w:rsidRPr="002D1EA2">
              <w:rPr>
                <w:rFonts w:ascii="Times New Roman" w:eastAsia="Times New Roman" w:hAnsi="Times New Roman" w:cs="Times New Roman"/>
                <w:color w:val="333333"/>
                <w:sz w:val="24"/>
                <w:szCs w:val="24"/>
                <w:lang w:eastAsia="uk-UA"/>
              </w:rPr>
              <w:t>шування (зональності) об’єкта.</w:t>
            </w:r>
          </w:p>
          <w:p w:rsidR="004C2FD0" w:rsidRPr="002D1EA2" w:rsidRDefault="004C2FD0" w:rsidP="00826EB9">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xml:space="preserve">Забезпечуються надходження коштів </w:t>
            </w:r>
            <w:r w:rsidR="00826EB9">
              <w:rPr>
                <w:rFonts w:ascii="Times New Roman" w:eastAsia="Times New Roman" w:hAnsi="Times New Roman" w:cs="Times New Roman"/>
                <w:color w:val="333333"/>
                <w:sz w:val="24"/>
                <w:szCs w:val="24"/>
                <w:lang w:eastAsia="uk-UA"/>
              </w:rPr>
              <w:t xml:space="preserve">49,0 </w:t>
            </w:r>
            <w:proofErr w:type="spellStart"/>
            <w:r w:rsidR="00826EB9">
              <w:rPr>
                <w:rFonts w:ascii="Times New Roman" w:eastAsia="Times New Roman" w:hAnsi="Times New Roman" w:cs="Times New Roman"/>
                <w:color w:val="333333"/>
                <w:sz w:val="24"/>
                <w:szCs w:val="24"/>
                <w:lang w:eastAsia="uk-UA"/>
              </w:rPr>
              <w:t>млн</w:t>
            </w:r>
            <w:r w:rsidRPr="002D1EA2">
              <w:rPr>
                <w:rFonts w:ascii="Times New Roman" w:eastAsia="Times New Roman" w:hAnsi="Times New Roman" w:cs="Times New Roman"/>
                <w:color w:val="333333"/>
                <w:sz w:val="24"/>
                <w:szCs w:val="24"/>
                <w:lang w:eastAsia="uk-UA"/>
              </w:rPr>
              <w:t>.грн</w:t>
            </w:r>
            <w:proofErr w:type="spellEnd"/>
            <w:r w:rsidRPr="002D1EA2">
              <w:rPr>
                <w:rFonts w:ascii="Times New Roman" w:eastAsia="Times New Roman" w:hAnsi="Times New Roman" w:cs="Times New Roman"/>
                <w:color w:val="333333"/>
                <w:sz w:val="24"/>
                <w:szCs w:val="24"/>
                <w:lang w:eastAsia="uk-UA"/>
              </w:rPr>
              <w:t xml:space="preserve">. до бюджету </w:t>
            </w:r>
            <w:r w:rsidR="00826EB9">
              <w:rPr>
                <w:rFonts w:ascii="Times New Roman" w:eastAsia="Times New Roman" w:hAnsi="Times New Roman" w:cs="Times New Roman"/>
                <w:color w:val="333333"/>
                <w:sz w:val="24"/>
                <w:szCs w:val="24"/>
                <w:lang w:eastAsia="uk-UA"/>
              </w:rPr>
              <w:t>громади</w:t>
            </w:r>
            <w:r w:rsidRPr="002D1EA2">
              <w:rPr>
                <w:rFonts w:ascii="Times New Roman" w:eastAsia="Times New Roman" w:hAnsi="Times New Roman" w:cs="Times New Roman"/>
                <w:color w:val="333333"/>
                <w:sz w:val="24"/>
                <w:szCs w:val="24"/>
                <w:lang w:eastAsia="uk-UA"/>
              </w:rPr>
              <w:t>, які можливо спрямувати для фінансування соціально важливих цільових програм</w:t>
            </w:r>
            <w:r w:rsidR="00826EB9">
              <w:rPr>
                <w:rFonts w:ascii="Times New Roman" w:eastAsia="Times New Roman" w:hAnsi="Times New Roman" w:cs="Times New Roman"/>
                <w:color w:val="333333"/>
                <w:sz w:val="24"/>
                <w:szCs w:val="24"/>
                <w:lang w:eastAsia="uk-UA"/>
              </w:rPr>
              <w:t>.</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lastRenderedPageBreak/>
              <w:t xml:space="preserve">Диференційовані ви-трати на сплату по-датку  у  відповідності </w:t>
            </w:r>
            <w:r w:rsidRPr="002D1EA2">
              <w:rPr>
                <w:rFonts w:ascii="Times New Roman" w:eastAsia="Times New Roman" w:hAnsi="Times New Roman" w:cs="Times New Roman"/>
                <w:color w:val="333333"/>
                <w:sz w:val="24"/>
                <w:szCs w:val="24"/>
                <w:lang w:eastAsia="uk-UA"/>
              </w:rPr>
              <w:lastRenderedPageBreak/>
              <w:t>до ухваленого рішення.</w:t>
            </w:r>
          </w:p>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tc>
        <w:tc>
          <w:tcPr>
            <w:tcW w:w="26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lastRenderedPageBreak/>
              <w:t xml:space="preserve">У рейтингу результативності альтернатива на другому </w:t>
            </w:r>
            <w:r w:rsidRPr="002D1EA2">
              <w:rPr>
                <w:rFonts w:ascii="Times New Roman" w:eastAsia="Times New Roman" w:hAnsi="Times New Roman" w:cs="Times New Roman"/>
                <w:color w:val="333333"/>
                <w:sz w:val="24"/>
                <w:szCs w:val="24"/>
                <w:lang w:eastAsia="uk-UA"/>
              </w:rPr>
              <w:lastRenderedPageBreak/>
              <w:t>місці. При виборі зазначеної альтернативи цілі будуть майже досягнуті, але не визначення меж зон ускладнює адміністрування податку.</w:t>
            </w:r>
          </w:p>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tc>
      </w:tr>
      <w:tr w:rsidR="004C2FD0" w:rsidRPr="002D1EA2" w:rsidTr="00FC4472">
        <w:tc>
          <w:tcPr>
            <w:tcW w:w="1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lastRenderedPageBreak/>
              <w:t>Альтернатива 4</w:t>
            </w:r>
          </w:p>
        </w:tc>
        <w:tc>
          <w:tcPr>
            <w:tcW w:w="29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Ставка податку не диференціюється залежно від місць розташування об’єктів нерухомості але диференціюється для різних типів об’єктів нерухомості (за розміром ставки для І зональності).</w:t>
            </w:r>
          </w:p>
          <w:p w:rsidR="004C2FD0" w:rsidRPr="002D1EA2" w:rsidRDefault="004C2FD0" w:rsidP="00FC4472">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xml:space="preserve">Прогнозні надходження від сплати податку </w:t>
            </w:r>
            <w:r w:rsidR="00826EB9">
              <w:rPr>
                <w:rFonts w:ascii="Times New Roman" w:eastAsia="Times New Roman" w:hAnsi="Times New Roman" w:cs="Times New Roman"/>
                <w:color w:val="333333"/>
                <w:sz w:val="24"/>
                <w:szCs w:val="24"/>
                <w:lang w:eastAsia="uk-UA"/>
              </w:rPr>
              <w:t>49,0 млн</w:t>
            </w:r>
            <w:r w:rsidRPr="002D1EA2">
              <w:rPr>
                <w:rFonts w:ascii="Times New Roman" w:eastAsia="Times New Roman" w:hAnsi="Times New Roman" w:cs="Times New Roman"/>
                <w:color w:val="333333"/>
                <w:sz w:val="24"/>
                <w:szCs w:val="24"/>
                <w:lang w:eastAsia="uk-UA"/>
              </w:rPr>
              <w:t>. грн. </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826EB9">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Ставка податку не диференціюється залежно від місць розташування об’єктів нерухомості. Враховуються пропозиції територіальної громади щодо диференціації за типом нерухомості.</w:t>
            </w:r>
          </w:p>
        </w:tc>
        <w:tc>
          <w:tcPr>
            <w:tcW w:w="26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При прийнятті альтернативи цілі будуть  досягнуті повною мірою.</w:t>
            </w:r>
          </w:p>
        </w:tc>
      </w:tr>
    </w:tbl>
    <w:p w:rsidR="004C2FD0" w:rsidRPr="002D1EA2" w:rsidRDefault="004C2FD0" w:rsidP="004C2FD0">
      <w:pPr>
        <w:shd w:val="clear" w:color="auto" w:fill="FFFFFF"/>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tbl>
      <w:tblPr>
        <w:tblW w:w="5000" w:type="pct"/>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1709"/>
        <w:gridCol w:w="4253"/>
        <w:gridCol w:w="3693"/>
      </w:tblGrid>
      <w:tr w:rsidR="004C2FD0" w:rsidRPr="002D1EA2" w:rsidTr="00FC4472">
        <w:tc>
          <w:tcPr>
            <w:tcW w:w="1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Рейтинг</w:t>
            </w:r>
          </w:p>
        </w:tc>
        <w:tc>
          <w:tcPr>
            <w:tcW w:w="4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Аргументи щодо переваги обраної альтернативи/причини відмови від альтернативи</w:t>
            </w:r>
          </w:p>
        </w:tc>
        <w:tc>
          <w:tcPr>
            <w:tcW w:w="3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Оцінка ризику зовнішніх чинників на дію запропонованого регуляторного акта</w:t>
            </w:r>
          </w:p>
        </w:tc>
      </w:tr>
      <w:tr w:rsidR="004C2FD0" w:rsidRPr="002D1EA2" w:rsidTr="00FC4472">
        <w:tc>
          <w:tcPr>
            <w:tcW w:w="1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1</w:t>
            </w:r>
          </w:p>
        </w:tc>
        <w:tc>
          <w:tcPr>
            <w:tcW w:w="4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2</w:t>
            </w:r>
          </w:p>
        </w:tc>
        <w:tc>
          <w:tcPr>
            <w:tcW w:w="3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3</w:t>
            </w:r>
          </w:p>
        </w:tc>
      </w:tr>
      <w:tr w:rsidR="004C2FD0" w:rsidRPr="002D1EA2" w:rsidTr="00FC4472">
        <w:tc>
          <w:tcPr>
            <w:tcW w:w="1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Альтернатива 1</w:t>
            </w:r>
          </w:p>
        </w:tc>
        <w:tc>
          <w:tcPr>
            <w:tcW w:w="4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FC4472">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Причиною відмови є необхідність ф</w:t>
            </w:r>
            <w:r w:rsidR="0046296D">
              <w:rPr>
                <w:rFonts w:ascii="Times New Roman" w:eastAsia="Times New Roman" w:hAnsi="Times New Roman" w:cs="Times New Roman"/>
                <w:color w:val="333333"/>
                <w:sz w:val="24"/>
                <w:szCs w:val="24"/>
                <w:lang w:eastAsia="uk-UA"/>
              </w:rPr>
              <w:t>інансування інфраструктури громади</w:t>
            </w:r>
            <w:r w:rsidRPr="002D1EA2">
              <w:rPr>
                <w:rFonts w:ascii="Times New Roman" w:eastAsia="Times New Roman" w:hAnsi="Times New Roman" w:cs="Times New Roman"/>
                <w:color w:val="333333"/>
                <w:sz w:val="24"/>
                <w:szCs w:val="24"/>
                <w:lang w:eastAsia="uk-UA"/>
              </w:rPr>
              <w:t xml:space="preserve">, наповнення бюджету </w:t>
            </w:r>
            <w:r w:rsidR="00826EB9">
              <w:rPr>
                <w:rFonts w:ascii="Times New Roman" w:eastAsia="Times New Roman" w:hAnsi="Times New Roman" w:cs="Times New Roman"/>
                <w:color w:val="333333"/>
                <w:sz w:val="24"/>
                <w:szCs w:val="24"/>
                <w:lang w:eastAsia="uk-UA"/>
              </w:rPr>
              <w:t>громади</w:t>
            </w:r>
            <w:r w:rsidRPr="002D1EA2">
              <w:rPr>
                <w:rFonts w:ascii="Times New Roman" w:eastAsia="Times New Roman" w:hAnsi="Times New Roman" w:cs="Times New Roman"/>
                <w:color w:val="333333"/>
                <w:sz w:val="24"/>
                <w:szCs w:val="24"/>
                <w:lang w:eastAsia="uk-UA"/>
              </w:rPr>
              <w:t xml:space="preserve">. Недоотримання надходжень у бюджет міста на прогнозованому рівні </w:t>
            </w:r>
            <w:r w:rsidR="00826EB9">
              <w:rPr>
                <w:rFonts w:ascii="Times New Roman" w:eastAsia="Times New Roman" w:hAnsi="Times New Roman" w:cs="Times New Roman"/>
                <w:color w:val="333333"/>
                <w:sz w:val="24"/>
                <w:szCs w:val="24"/>
                <w:lang w:eastAsia="uk-UA"/>
              </w:rPr>
              <w:t>49 0 млн</w:t>
            </w:r>
            <w:r w:rsidRPr="002D1EA2">
              <w:rPr>
                <w:rFonts w:ascii="Times New Roman" w:eastAsia="Times New Roman" w:hAnsi="Times New Roman" w:cs="Times New Roman"/>
                <w:color w:val="333333"/>
                <w:sz w:val="24"/>
                <w:szCs w:val="24"/>
                <w:lang w:eastAsia="uk-UA"/>
              </w:rPr>
              <w:t>. грн для фінансування соціально важливих цільових програм</w:t>
            </w:r>
            <w:r w:rsidR="00826EB9">
              <w:rPr>
                <w:rFonts w:ascii="Times New Roman" w:eastAsia="Times New Roman" w:hAnsi="Times New Roman" w:cs="Times New Roman"/>
                <w:color w:val="333333"/>
                <w:sz w:val="24"/>
                <w:szCs w:val="24"/>
                <w:lang w:eastAsia="uk-UA"/>
              </w:rPr>
              <w:t xml:space="preserve">. </w:t>
            </w:r>
          </w:p>
        </w:tc>
        <w:tc>
          <w:tcPr>
            <w:tcW w:w="3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FC4472">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Відсутні. Індикаторами можуть бути процеси та явища соціально-економічного характеру (прискорення або уповільнення змін економічного зростання, політичні впливи, дефіцит</w:t>
            </w:r>
            <w:r w:rsidR="00FC4472">
              <w:rPr>
                <w:rFonts w:ascii="Times New Roman" w:eastAsia="Times New Roman" w:hAnsi="Times New Roman" w:cs="Times New Roman"/>
                <w:color w:val="333333"/>
                <w:sz w:val="24"/>
                <w:szCs w:val="24"/>
                <w:lang w:eastAsia="uk-UA"/>
              </w:rPr>
              <w:t xml:space="preserve"> </w:t>
            </w:r>
            <w:r w:rsidRPr="002D1EA2">
              <w:rPr>
                <w:rFonts w:ascii="Times New Roman" w:eastAsia="Times New Roman" w:hAnsi="Times New Roman" w:cs="Times New Roman"/>
                <w:color w:val="333333"/>
                <w:sz w:val="24"/>
                <w:szCs w:val="24"/>
                <w:lang w:eastAsia="uk-UA"/>
              </w:rPr>
              <w:t>ресурсів тощо)</w:t>
            </w:r>
            <w:r w:rsidR="00826EB9">
              <w:rPr>
                <w:rFonts w:ascii="Times New Roman" w:eastAsia="Times New Roman" w:hAnsi="Times New Roman" w:cs="Times New Roman"/>
                <w:color w:val="333333"/>
                <w:sz w:val="24"/>
                <w:szCs w:val="24"/>
                <w:lang w:eastAsia="uk-UA"/>
              </w:rPr>
              <w:t>.</w:t>
            </w:r>
          </w:p>
        </w:tc>
      </w:tr>
      <w:tr w:rsidR="004C2FD0" w:rsidRPr="002D1EA2" w:rsidTr="00FC4472">
        <w:trPr>
          <w:trHeight w:val="4575"/>
        </w:trPr>
        <w:tc>
          <w:tcPr>
            <w:tcW w:w="1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Альтернатива 2</w:t>
            </w:r>
          </w:p>
        </w:tc>
        <w:tc>
          <w:tcPr>
            <w:tcW w:w="4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Причиною відмови є максимальне податкове навантаження на суб’єктів  господарювання, які виникають внаслідок дії регуляторного акта.</w:t>
            </w:r>
          </w:p>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tc>
        <w:tc>
          <w:tcPr>
            <w:tcW w:w="3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826EB9">
            <w:pPr>
              <w:spacing w:after="0"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xml:space="preserve">На дію запропонованого проекту можуть вплинути такі зовнішні чинники, як </w:t>
            </w:r>
            <w:r w:rsidR="00826EB9">
              <w:rPr>
                <w:rFonts w:ascii="Times New Roman" w:eastAsia="Times New Roman" w:hAnsi="Times New Roman" w:cs="Times New Roman"/>
                <w:color w:val="333333"/>
                <w:sz w:val="24"/>
                <w:szCs w:val="24"/>
                <w:lang w:eastAsia="uk-UA"/>
              </w:rPr>
              <w:t>в</w:t>
            </w:r>
            <w:r w:rsidRPr="002D1EA2">
              <w:rPr>
                <w:rFonts w:ascii="Times New Roman" w:eastAsia="Times New Roman" w:hAnsi="Times New Roman" w:cs="Times New Roman"/>
                <w:color w:val="333333"/>
                <w:sz w:val="24"/>
                <w:szCs w:val="24"/>
                <w:lang w:eastAsia="uk-UA"/>
              </w:rPr>
              <w:t>несення змін та доповнень до чинного законодавства України або виникнення необхідності в нормативному</w:t>
            </w:r>
          </w:p>
          <w:p w:rsidR="004C2FD0" w:rsidRPr="002D1EA2" w:rsidRDefault="004C2FD0" w:rsidP="00826EB9">
            <w:pPr>
              <w:spacing w:after="0"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врегулюванні певних правових   відносин.  Індикаторами можуть бути процеси та явища соціально-економічного характеру (прискорення або уповільнення змін економічного зростання, політичні впливи, дефіцит ресурсів тощо)</w:t>
            </w:r>
          </w:p>
        </w:tc>
      </w:tr>
      <w:tr w:rsidR="004C2FD0" w:rsidRPr="002D1EA2" w:rsidTr="00FC4472">
        <w:tc>
          <w:tcPr>
            <w:tcW w:w="1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lastRenderedPageBreak/>
              <w:t>Альтернатива 3</w:t>
            </w:r>
          </w:p>
        </w:tc>
        <w:tc>
          <w:tcPr>
            <w:tcW w:w="4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Альтернатива може бути прийнятою. Цілі можуть бути досягнені майже повною мірою. Але складний порядок адміністрування становить ризик несвоєчасного отримання податку, зменшується інвестиційна привабливість території.</w:t>
            </w:r>
          </w:p>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tc>
        <w:tc>
          <w:tcPr>
            <w:tcW w:w="3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FC4472">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xml:space="preserve">На дію запропонованого </w:t>
            </w:r>
            <w:proofErr w:type="spellStart"/>
            <w:r w:rsidRPr="002D1EA2">
              <w:rPr>
                <w:rFonts w:ascii="Times New Roman" w:eastAsia="Times New Roman" w:hAnsi="Times New Roman" w:cs="Times New Roman"/>
                <w:color w:val="333333"/>
                <w:sz w:val="24"/>
                <w:szCs w:val="24"/>
                <w:lang w:eastAsia="uk-UA"/>
              </w:rPr>
              <w:t>проєкт</w:t>
            </w:r>
            <w:r w:rsidR="00FC4472">
              <w:rPr>
                <w:rFonts w:ascii="Times New Roman" w:eastAsia="Times New Roman" w:hAnsi="Times New Roman" w:cs="Times New Roman"/>
                <w:color w:val="333333"/>
                <w:sz w:val="24"/>
                <w:szCs w:val="24"/>
                <w:lang w:eastAsia="uk-UA"/>
              </w:rPr>
              <w:t>у</w:t>
            </w:r>
            <w:proofErr w:type="spellEnd"/>
            <w:r w:rsidR="00FC4472">
              <w:rPr>
                <w:rFonts w:ascii="Times New Roman" w:eastAsia="Times New Roman" w:hAnsi="Times New Roman" w:cs="Times New Roman"/>
                <w:color w:val="333333"/>
                <w:sz w:val="24"/>
                <w:szCs w:val="24"/>
                <w:lang w:eastAsia="uk-UA"/>
              </w:rPr>
              <w:t xml:space="preserve"> </w:t>
            </w:r>
            <w:r w:rsidRPr="002D1EA2">
              <w:rPr>
                <w:rFonts w:ascii="Times New Roman" w:eastAsia="Times New Roman" w:hAnsi="Times New Roman" w:cs="Times New Roman"/>
                <w:color w:val="333333"/>
                <w:sz w:val="24"/>
                <w:szCs w:val="24"/>
                <w:lang w:eastAsia="uk-UA"/>
              </w:rPr>
              <w:t xml:space="preserve">можуть вплинути такі зовнішні чинники, як прийняття змін та доповнень до чинного законодавства України або виникнення необхідності в нормативному врегулюванні певних правових відносин. Індикаторами </w:t>
            </w:r>
            <w:r w:rsidR="00FC4472">
              <w:rPr>
                <w:rFonts w:ascii="Times New Roman" w:eastAsia="Times New Roman" w:hAnsi="Times New Roman" w:cs="Times New Roman"/>
                <w:color w:val="333333"/>
                <w:sz w:val="24"/>
                <w:szCs w:val="24"/>
                <w:lang w:eastAsia="uk-UA"/>
              </w:rPr>
              <w:t>м</w:t>
            </w:r>
            <w:r w:rsidRPr="002D1EA2">
              <w:rPr>
                <w:rFonts w:ascii="Times New Roman" w:eastAsia="Times New Roman" w:hAnsi="Times New Roman" w:cs="Times New Roman"/>
                <w:color w:val="333333"/>
                <w:sz w:val="24"/>
                <w:szCs w:val="24"/>
                <w:lang w:eastAsia="uk-UA"/>
              </w:rPr>
              <w:t>ожуть  бути  процеси  та явища соціально-економічного характеру (прискорення або уповільнення змін економічного зростання, політичні впливи, дефіцит ресурсів тощо)</w:t>
            </w:r>
            <w:r w:rsidR="00FC4472">
              <w:rPr>
                <w:rFonts w:ascii="Times New Roman" w:eastAsia="Times New Roman" w:hAnsi="Times New Roman" w:cs="Times New Roman"/>
                <w:color w:val="333333"/>
                <w:sz w:val="24"/>
                <w:szCs w:val="24"/>
                <w:lang w:eastAsia="uk-UA"/>
              </w:rPr>
              <w:t>.</w:t>
            </w:r>
          </w:p>
        </w:tc>
      </w:tr>
      <w:tr w:rsidR="004C2FD0" w:rsidRPr="002D1EA2" w:rsidTr="00FC4472">
        <w:tc>
          <w:tcPr>
            <w:tcW w:w="1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Альтернатива 4</w:t>
            </w:r>
          </w:p>
        </w:tc>
        <w:tc>
          <w:tcPr>
            <w:tcW w:w="4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xml:space="preserve">Для досягнення встановлених цілей перевага  була  надана  цій  </w:t>
            </w:r>
            <w:proofErr w:type="spellStart"/>
            <w:r w:rsidRPr="002D1EA2">
              <w:rPr>
                <w:rFonts w:ascii="Times New Roman" w:eastAsia="Times New Roman" w:hAnsi="Times New Roman" w:cs="Times New Roman"/>
                <w:color w:val="333333"/>
                <w:sz w:val="24"/>
                <w:szCs w:val="24"/>
                <w:lang w:eastAsia="uk-UA"/>
              </w:rPr>
              <w:t>альтернативі.Цілі</w:t>
            </w:r>
            <w:proofErr w:type="spellEnd"/>
            <w:r w:rsidRPr="002D1EA2">
              <w:rPr>
                <w:rFonts w:ascii="Times New Roman" w:eastAsia="Times New Roman" w:hAnsi="Times New Roman" w:cs="Times New Roman"/>
                <w:color w:val="333333"/>
                <w:sz w:val="24"/>
                <w:szCs w:val="24"/>
                <w:lang w:eastAsia="uk-UA"/>
              </w:rPr>
              <w:t xml:space="preserve"> можуть бути </w:t>
            </w:r>
            <w:proofErr w:type="spellStart"/>
            <w:r w:rsidRPr="002D1EA2">
              <w:rPr>
                <w:rFonts w:ascii="Times New Roman" w:eastAsia="Times New Roman" w:hAnsi="Times New Roman" w:cs="Times New Roman"/>
                <w:color w:val="333333"/>
                <w:sz w:val="24"/>
                <w:szCs w:val="24"/>
                <w:lang w:eastAsia="uk-UA"/>
              </w:rPr>
              <w:t>досягнені</w:t>
            </w:r>
            <w:proofErr w:type="spellEnd"/>
            <w:r w:rsidRPr="002D1EA2">
              <w:rPr>
                <w:rFonts w:ascii="Times New Roman" w:eastAsia="Times New Roman" w:hAnsi="Times New Roman" w:cs="Times New Roman"/>
                <w:color w:val="333333"/>
                <w:sz w:val="24"/>
                <w:szCs w:val="24"/>
                <w:lang w:eastAsia="uk-UA"/>
              </w:rPr>
              <w:t xml:space="preserve"> повною мірою. До бюджету</w:t>
            </w:r>
            <w:r w:rsidR="00826EB9">
              <w:rPr>
                <w:rFonts w:ascii="Times New Roman" w:eastAsia="Times New Roman" w:hAnsi="Times New Roman" w:cs="Times New Roman"/>
                <w:color w:val="333333"/>
                <w:sz w:val="24"/>
                <w:szCs w:val="24"/>
                <w:lang w:eastAsia="uk-UA"/>
              </w:rPr>
              <w:t xml:space="preserve"> громади</w:t>
            </w:r>
            <w:r w:rsidRPr="002D1EA2">
              <w:rPr>
                <w:rFonts w:ascii="Times New Roman" w:eastAsia="Times New Roman" w:hAnsi="Times New Roman" w:cs="Times New Roman"/>
                <w:color w:val="333333"/>
                <w:sz w:val="24"/>
                <w:szCs w:val="24"/>
                <w:lang w:eastAsia="uk-UA"/>
              </w:rPr>
              <w:t xml:space="preserve"> надійде понад </w:t>
            </w:r>
            <w:r w:rsidR="00FC4472">
              <w:rPr>
                <w:rFonts w:ascii="Times New Roman" w:eastAsia="Times New Roman" w:hAnsi="Times New Roman" w:cs="Times New Roman"/>
                <w:color w:val="333333"/>
                <w:sz w:val="24"/>
                <w:szCs w:val="24"/>
                <w:lang w:eastAsia="uk-UA"/>
              </w:rPr>
              <w:t xml:space="preserve">49,0 </w:t>
            </w:r>
            <w:proofErr w:type="spellStart"/>
            <w:r w:rsidR="00FC4472">
              <w:rPr>
                <w:rFonts w:ascii="Times New Roman" w:eastAsia="Times New Roman" w:hAnsi="Times New Roman" w:cs="Times New Roman"/>
                <w:color w:val="333333"/>
                <w:sz w:val="24"/>
                <w:szCs w:val="24"/>
                <w:lang w:eastAsia="uk-UA"/>
              </w:rPr>
              <w:t>млн</w:t>
            </w:r>
            <w:r w:rsidRPr="002D1EA2">
              <w:rPr>
                <w:rFonts w:ascii="Times New Roman" w:eastAsia="Times New Roman" w:hAnsi="Times New Roman" w:cs="Times New Roman"/>
                <w:color w:val="333333"/>
                <w:sz w:val="24"/>
                <w:szCs w:val="24"/>
                <w:lang w:eastAsia="uk-UA"/>
              </w:rPr>
              <w:t>.грн</w:t>
            </w:r>
            <w:proofErr w:type="spellEnd"/>
            <w:r w:rsidRPr="002D1EA2">
              <w:rPr>
                <w:rFonts w:ascii="Times New Roman" w:eastAsia="Times New Roman" w:hAnsi="Times New Roman" w:cs="Times New Roman"/>
                <w:color w:val="333333"/>
                <w:sz w:val="24"/>
                <w:szCs w:val="24"/>
                <w:lang w:eastAsia="uk-UA"/>
              </w:rPr>
              <w:t>.</w:t>
            </w:r>
          </w:p>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Податок має чітку диференціацію за типом об’єктів нерухомості, враховуються пропозиції громади, знижується ризик відмови від добровільної сплати податку, бюджет наповнюється рівномірно та своєчасно.</w:t>
            </w:r>
          </w:p>
        </w:tc>
        <w:tc>
          <w:tcPr>
            <w:tcW w:w="3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xml:space="preserve">На дію запропонованого </w:t>
            </w:r>
            <w:proofErr w:type="spellStart"/>
            <w:r w:rsidRPr="002D1EA2">
              <w:rPr>
                <w:rFonts w:ascii="Times New Roman" w:eastAsia="Times New Roman" w:hAnsi="Times New Roman" w:cs="Times New Roman"/>
                <w:color w:val="333333"/>
                <w:sz w:val="24"/>
                <w:szCs w:val="24"/>
                <w:lang w:eastAsia="uk-UA"/>
              </w:rPr>
              <w:t>проєкта</w:t>
            </w:r>
            <w:proofErr w:type="spellEnd"/>
            <w:r w:rsidRPr="002D1EA2">
              <w:rPr>
                <w:rFonts w:ascii="Times New Roman" w:eastAsia="Times New Roman" w:hAnsi="Times New Roman" w:cs="Times New Roman"/>
                <w:color w:val="333333"/>
                <w:sz w:val="24"/>
                <w:szCs w:val="24"/>
                <w:lang w:eastAsia="uk-UA"/>
              </w:rPr>
              <w:t xml:space="preserve"> можуть вплинути такі зовнішні чинники, як прийняття змін та доповнень до чинного законодавства України або виникнення необхідності в нормативному врегулюванні певних правових відносин</w:t>
            </w:r>
            <w:r w:rsidR="00FC4472">
              <w:rPr>
                <w:rFonts w:ascii="Times New Roman" w:eastAsia="Times New Roman" w:hAnsi="Times New Roman" w:cs="Times New Roman"/>
                <w:color w:val="333333"/>
                <w:sz w:val="24"/>
                <w:szCs w:val="24"/>
                <w:lang w:eastAsia="uk-UA"/>
              </w:rPr>
              <w:t>.</w:t>
            </w:r>
          </w:p>
        </w:tc>
      </w:tr>
    </w:tbl>
    <w:p w:rsidR="004C2FD0" w:rsidRPr="002D1EA2" w:rsidRDefault="004C2FD0" w:rsidP="004C2FD0">
      <w:pPr>
        <w:shd w:val="clear" w:color="auto" w:fill="FFFFFF"/>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p w:rsidR="004C2FD0" w:rsidRPr="002D1EA2" w:rsidRDefault="004C2FD0" w:rsidP="004C2FD0">
      <w:pPr>
        <w:shd w:val="clear" w:color="auto" w:fill="FFFFFF"/>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color w:val="333333"/>
          <w:sz w:val="24"/>
          <w:szCs w:val="24"/>
          <w:lang w:eastAsia="uk-UA"/>
        </w:rPr>
        <w:t>V. Механізми та заходи,</w:t>
      </w:r>
    </w:p>
    <w:p w:rsidR="004C2FD0" w:rsidRPr="002D1EA2" w:rsidRDefault="004C2FD0" w:rsidP="004C2FD0">
      <w:pPr>
        <w:shd w:val="clear" w:color="auto" w:fill="FFFFFF"/>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color w:val="333333"/>
          <w:sz w:val="24"/>
          <w:szCs w:val="24"/>
          <w:lang w:eastAsia="uk-UA"/>
        </w:rPr>
        <w:t>які забезпечать  розв’язання визначеної проблеми</w:t>
      </w:r>
    </w:p>
    <w:p w:rsidR="004C2FD0" w:rsidRPr="002D1EA2" w:rsidRDefault="004C2FD0" w:rsidP="00CC7D2A">
      <w:pPr>
        <w:shd w:val="clear" w:color="auto" w:fill="FFFFFF"/>
        <w:spacing w:after="135" w:line="240" w:lineRule="auto"/>
        <w:ind w:firstLine="708"/>
        <w:jc w:val="both"/>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xml:space="preserve">Згідно з </w:t>
      </w:r>
      <w:r w:rsidR="00826EB9">
        <w:rPr>
          <w:rFonts w:ascii="Times New Roman" w:eastAsia="Times New Roman" w:hAnsi="Times New Roman" w:cs="Times New Roman"/>
          <w:color w:val="333333"/>
          <w:sz w:val="24"/>
          <w:szCs w:val="24"/>
          <w:lang w:eastAsia="uk-UA"/>
        </w:rPr>
        <w:t>Податковим к</w:t>
      </w:r>
      <w:r w:rsidRPr="002D1EA2">
        <w:rPr>
          <w:rFonts w:ascii="Times New Roman" w:eastAsia="Times New Roman" w:hAnsi="Times New Roman" w:cs="Times New Roman"/>
          <w:color w:val="333333"/>
          <w:sz w:val="24"/>
          <w:szCs w:val="24"/>
          <w:lang w:eastAsia="uk-UA"/>
        </w:rPr>
        <w:t xml:space="preserve">одексом до повноважень міських рад належить ухвалення рішення про встановлення місцевих податків і </w:t>
      </w:r>
      <w:proofErr w:type="spellStart"/>
      <w:r w:rsidRPr="002D1EA2">
        <w:rPr>
          <w:rFonts w:ascii="Times New Roman" w:eastAsia="Times New Roman" w:hAnsi="Times New Roman" w:cs="Times New Roman"/>
          <w:color w:val="333333"/>
          <w:sz w:val="24"/>
          <w:szCs w:val="24"/>
          <w:lang w:eastAsia="uk-UA"/>
        </w:rPr>
        <w:t>зборів.Тому</w:t>
      </w:r>
      <w:proofErr w:type="spellEnd"/>
      <w:r w:rsidRPr="002D1EA2">
        <w:rPr>
          <w:rFonts w:ascii="Times New Roman" w:eastAsia="Times New Roman" w:hAnsi="Times New Roman" w:cs="Times New Roman"/>
          <w:color w:val="333333"/>
          <w:sz w:val="24"/>
          <w:szCs w:val="24"/>
          <w:lang w:eastAsia="uk-UA"/>
        </w:rPr>
        <w:t>, вирішити питання встановлення розміру ставок податку на нерухоме майно, відмінне від земельної ділянки, пропонується шляхом ухвалення запропонованого рішення міської ради. Цей спосіб досягнення цілей є оптимальним шляхом вирішення проблеми й ґрунтується на загальнообов’язковості виконання норм рішення всіма учасниками правовідносин у системі оподаткування.</w:t>
      </w:r>
    </w:p>
    <w:p w:rsidR="004C2FD0" w:rsidRPr="002D1EA2" w:rsidRDefault="004C2FD0" w:rsidP="00CC7D2A">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Кодексом визначено платників податку: фізичні особи та юридичні особи (резиденти і нерезиденти України). При цьому Кодексом окремо не розподіляються фізичні особи на громадян та фізичних осіб-підприємців. Тобто, до цієї групи платників віднесено як громадян, так і фізичних осіб-підприємців.</w:t>
      </w:r>
    </w:p>
    <w:p w:rsidR="004C2FD0" w:rsidRPr="002D1EA2" w:rsidRDefault="004C2FD0" w:rsidP="00CC7D2A">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Також на законодавчому рівні для цієї групи платників передбачено особливість сплати податку. А саме: фізичні особи сплачують податок у поточному році за попередній рік. Тобто, надходження від сплати податку від цієї категорії платників за ставками, установленими рішенням міської ради, можливо буде отримати у 2022 році.</w:t>
      </w:r>
    </w:p>
    <w:p w:rsidR="004C2FD0" w:rsidRPr="002D1EA2" w:rsidRDefault="004C2FD0" w:rsidP="00CC7D2A">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xml:space="preserve">При здійсненні регуляторної діяльності розглядаються обґрунтовані </w:t>
      </w:r>
      <w:r w:rsidR="0046296D">
        <w:rPr>
          <w:rFonts w:ascii="Times New Roman" w:eastAsia="Times New Roman" w:hAnsi="Times New Roman" w:cs="Times New Roman"/>
          <w:color w:val="333333"/>
          <w:sz w:val="24"/>
          <w:szCs w:val="24"/>
          <w:lang w:eastAsia="uk-UA"/>
        </w:rPr>
        <w:t xml:space="preserve">пропозиції та зауваження до </w:t>
      </w:r>
      <w:proofErr w:type="spellStart"/>
      <w:r w:rsidR="0046296D">
        <w:rPr>
          <w:rFonts w:ascii="Times New Roman" w:eastAsia="Times New Roman" w:hAnsi="Times New Roman" w:cs="Times New Roman"/>
          <w:color w:val="333333"/>
          <w:sz w:val="24"/>
          <w:szCs w:val="24"/>
          <w:lang w:eastAsia="uk-UA"/>
        </w:rPr>
        <w:t>проє</w:t>
      </w:r>
      <w:r w:rsidRPr="002D1EA2">
        <w:rPr>
          <w:rFonts w:ascii="Times New Roman" w:eastAsia="Times New Roman" w:hAnsi="Times New Roman" w:cs="Times New Roman"/>
          <w:color w:val="333333"/>
          <w:sz w:val="24"/>
          <w:szCs w:val="24"/>
          <w:lang w:eastAsia="uk-UA"/>
        </w:rPr>
        <w:t>кту</w:t>
      </w:r>
      <w:proofErr w:type="spellEnd"/>
      <w:r w:rsidRPr="002D1EA2">
        <w:rPr>
          <w:rFonts w:ascii="Times New Roman" w:eastAsia="Times New Roman" w:hAnsi="Times New Roman" w:cs="Times New Roman"/>
          <w:color w:val="333333"/>
          <w:sz w:val="24"/>
          <w:szCs w:val="24"/>
          <w:lang w:eastAsia="uk-UA"/>
        </w:rPr>
        <w:t xml:space="preserve"> рішення, надані суб’єктами господарювання, представниками територіальної громади в установленому законом порядку.</w:t>
      </w:r>
    </w:p>
    <w:p w:rsidR="004C2FD0" w:rsidRPr="002D1EA2" w:rsidRDefault="00CC7D2A" w:rsidP="00CC7D2A">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Д</w:t>
      </w:r>
      <w:r w:rsidR="004C2FD0" w:rsidRPr="002D1EA2">
        <w:rPr>
          <w:rFonts w:ascii="Times New Roman" w:eastAsia="Times New Roman" w:hAnsi="Times New Roman" w:cs="Times New Roman"/>
          <w:color w:val="333333"/>
          <w:sz w:val="24"/>
          <w:szCs w:val="24"/>
          <w:lang w:eastAsia="uk-UA"/>
        </w:rPr>
        <w:t xml:space="preserve">ля забезпечення виконання вимог чинного законодавства України, документи з регуляторної діяльності підлягають оприлюдненню на офіційному веб-сайті </w:t>
      </w:r>
      <w:r>
        <w:rPr>
          <w:rFonts w:ascii="Times New Roman" w:eastAsia="Times New Roman" w:hAnsi="Times New Roman" w:cs="Times New Roman"/>
          <w:color w:val="333333"/>
          <w:sz w:val="24"/>
          <w:szCs w:val="24"/>
          <w:lang w:eastAsia="uk-UA"/>
        </w:rPr>
        <w:t xml:space="preserve">Луцької </w:t>
      </w:r>
      <w:r w:rsidR="004C2FD0" w:rsidRPr="002D1EA2">
        <w:rPr>
          <w:rFonts w:ascii="Times New Roman" w:eastAsia="Times New Roman" w:hAnsi="Times New Roman" w:cs="Times New Roman"/>
          <w:color w:val="333333"/>
          <w:sz w:val="24"/>
          <w:szCs w:val="24"/>
          <w:lang w:eastAsia="uk-UA"/>
        </w:rPr>
        <w:t>міської ради та її виконавчого комітету розділ «Регуляторна політика», у засобах масової інформації з метою отримання зауважень і пропозицій у термін, визначений Законом України «Про засади державної регуляторної політики у сфері господарської діяльності».</w:t>
      </w:r>
    </w:p>
    <w:p w:rsidR="004C2FD0" w:rsidRPr="002D1EA2" w:rsidRDefault="004C2FD0" w:rsidP="00CC7D2A">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lastRenderedPageBreak/>
        <w:t xml:space="preserve">Рівень поінформованості є досить високим, оскільки мешканці активно користуються офіційними веб-сторінками </w:t>
      </w:r>
      <w:r w:rsidR="00CC7D2A">
        <w:rPr>
          <w:rFonts w:ascii="Times New Roman" w:eastAsia="Times New Roman" w:hAnsi="Times New Roman" w:cs="Times New Roman"/>
          <w:color w:val="333333"/>
          <w:sz w:val="24"/>
          <w:szCs w:val="24"/>
          <w:lang w:eastAsia="uk-UA"/>
        </w:rPr>
        <w:t xml:space="preserve">Луцької </w:t>
      </w:r>
      <w:r w:rsidRPr="002D1EA2">
        <w:rPr>
          <w:rFonts w:ascii="Times New Roman" w:eastAsia="Times New Roman" w:hAnsi="Times New Roman" w:cs="Times New Roman"/>
          <w:color w:val="333333"/>
          <w:sz w:val="24"/>
          <w:szCs w:val="24"/>
          <w:lang w:eastAsia="uk-UA"/>
        </w:rPr>
        <w:t>міської</w:t>
      </w:r>
      <w:r w:rsidR="00CC7D2A">
        <w:rPr>
          <w:rFonts w:ascii="Times New Roman" w:eastAsia="Times New Roman" w:hAnsi="Times New Roman" w:cs="Times New Roman"/>
          <w:color w:val="333333"/>
          <w:sz w:val="24"/>
          <w:szCs w:val="24"/>
          <w:lang w:eastAsia="uk-UA"/>
        </w:rPr>
        <w:t xml:space="preserve"> </w:t>
      </w:r>
      <w:r w:rsidRPr="002D1EA2">
        <w:rPr>
          <w:rFonts w:ascii="Times New Roman" w:eastAsia="Times New Roman" w:hAnsi="Times New Roman" w:cs="Times New Roman"/>
          <w:color w:val="333333"/>
          <w:sz w:val="24"/>
          <w:szCs w:val="24"/>
          <w:lang w:eastAsia="uk-UA"/>
        </w:rPr>
        <w:t>ради та її виконавчого комітету, крім того, місцеві засоби масової інформації активно використовують електронну інформацію міської ради для розміщення на своїх інтернет ресурсах.</w:t>
      </w:r>
    </w:p>
    <w:p w:rsidR="004C2FD0" w:rsidRPr="002D1EA2" w:rsidRDefault="004C2FD0" w:rsidP="00CC7D2A">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xml:space="preserve">Ухвалення рішення про встановлення місцевих податків і зборів забезпечить </w:t>
      </w:r>
      <w:r w:rsidR="0046296D">
        <w:rPr>
          <w:rFonts w:ascii="Times New Roman" w:eastAsia="Times New Roman" w:hAnsi="Times New Roman" w:cs="Times New Roman"/>
          <w:color w:val="333333"/>
          <w:sz w:val="24"/>
          <w:szCs w:val="24"/>
          <w:lang w:eastAsia="uk-UA"/>
        </w:rPr>
        <w:t xml:space="preserve">     </w:t>
      </w:r>
      <w:r w:rsidRPr="002D1EA2">
        <w:rPr>
          <w:rFonts w:ascii="Times New Roman" w:eastAsia="Times New Roman" w:hAnsi="Times New Roman" w:cs="Times New Roman"/>
          <w:color w:val="333333"/>
          <w:sz w:val="24"/>
          <w:szCs w:val="24"/>
          <w:lang w:eastAsia="uk-UA"/>
        </w:rPr>
        <w:t>встановлення пільг по податку на нерухоме майно, відмінне від земельної ділянки.</w:t>
      </w:r>
    </w:p>
    <w:p w:rsidR="004C2FD0" w:rsidRPr="002D1EA2" w:rsidRDefault="004C2FD0" w:rsidP="00CC7D2A">
      <w:pPr>
        <w:shd w:val="clear" w:color="auto" w:fill="FFFFFF"/>
        <w:spacing w:after="135" w:line="240" w:lineRule="auto"/>
        <w:jc w:val="both"/>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Таким чином, упровадження регуляторного акта забезпечить дотримання норм чинного податкового законодавства як органами державної податкової служби, органами місцевого самоврядування, так і суб’єктами господарювання,</w:t>
      </w:r>
      <w:r w:rsidR="00CC7D2A">
        <w:rPr>
          <w:rFonts w:ascii="Times New Roman" w:eastAsia="Times New Roman" w:hAnsi="Times New Roman" w:cs="Times New Roman"/>
          <w:color w:val="333333"/>
          <w:sz w:val="24"/>
          <w:szCs w:val="24"/>
          <w:lang w:eastAsia="uk-UA"/>
        </w:rPr>
        <w:t xml:space="preserve"> </w:t>
      </w:r>
      <w:r w:rsidRPr="002D1EA2">
        <w:rPr>
          <w:rFonts w:ascii="Times New Roman" w:eastAsia="Times New Roman" w:hAnsi="Times New Roman" w:cs="Times New Roman"/>
          <w:color w:val="333333"/>
          <w:sz w:val="24"/>
          <w:szCs w:val="24"/>
          <w:lang w:eastAsia="uk-UA"/>
        </w:rPr>
        <w:t>у тому числі нерезидентами, які є власниками об'єктів житлової та/або нежитлової нерухомості, та громадянами,</w:t>
      </w:r>
      <w:r w:rsidR="00CC7D2A">
        <w:rPr>
          <w:rFonts w:ascii="Times New Roman" w:eastAsia="Times New Roman" w:hAnsi="Times New Roman" w:cs="Times New Roman"/>
          <w:color w:val="333333"/>
          <w:sz w:val="24"/>
          <w:szCs w:val="24"/>
          <w:lang w:eastAsia="uk-UA"/>
        </w:rPr>
        <w:t xml:space="preserve"> </w:t>
      </w:r>
      <w:r w:rsidRPr="002D1EA2">
        <w:rPr>
          <w:rFonts w:ascii="Times New Roman" w:eastAsia="Times New Roman" w:hAnsi="Times New Roman" w:cs="Times New Roman"/>
          <w:color w:val="333333"/>
          <w:sz w:val="24"/>
          <w:szCs w:val="24"/>
          <w:lang w:eastAsia="uk-UA"/>
        </w:rPr>
        <w:t>що сплачують податок на нерухоме майно, відмінне від земельної ділянки,у порядку та на умовах, визначених Кодексом і цим регуляторним актом.</w:t>
      </w:r>
    </w:p>
    <w:p w:rsidR="004C2FD0" w:rsidRPr="002D1EA2" w:rsidRDefault="004C2FD0" w:rsidP="00FC4472">
      <w:pPr>
        <w:shd w:val="clear" w:color="auto" w:fill="FFFFFF"/>
        <w:spacing w:after="135" w:line="240" w:lineRule="auto"/>
        <w:jc w:val="both"/>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r w:rsidRPr="002D1EA2">
        <w:rPr>
          <w:rFonts w:ascii="Times New Roman" w:eastAsia="Times New Roman" w:hAnsi="Times New Roman" w:cs="Times New Roman"/>
          <w:b/>
          <w:bCs/>
          <w:color w:val="333333"/>
          <w:sz w:val="24"/>
          <w:szCs w:val="24"/>
          <w:lang w:eastAsia="uk-UA"/>
        </w:rPr>
        <w:t>VI. Оцінка виконання вимог регуляторного акта залежно від ресурсів,</w:t>
      </w:r>
    </w:p>
    <w:p w:rsidR="004C2FD0" w:rsidRPr="002D1EA2" w:rsidRDefault="004C2FD0" w:rsidP="00CC7D2A">
      <w:pPr>
        <w:shd w:val="clear" w:color="auto" w:fill="FFFFFF"/>
        <w:spacing w:after="0"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color w:val="333333"/>
          <w:sz w:val="24"/>
          <w:szCs w:val="24"/>
          <w:lang w:eastAsia="uk-UA"/>
        </w:rPr>
        <w:t>якими розпоряджаються органи виконавчої влади чи органи місцевого самоврядування, фізичні та юридичні особи, які повинні проваджувати</w:t>
      </w:r>
    </w:p>
    <w:p w:rsidR="004C2FD0" w:rsidRPr="002D1EA2" w:rsidRDefault="004C2FD0" w:rsidP="00CC7D2A">
      <w:pPr>
        <w:shd w:val="clear" w:color="auto" w:fill="FFFFFF"/>
        <w:spacing w:after="0"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color w:val="333333"/>
          <w:sz w:val="24"/>
          <w:szCs w:val="24"/>
          <w:lang w:eastAsia="uk-UA"/>
        </w:rPr>
        <w:t>або виконувати ці вимоги</w:t>
      </w:r>
    </w:p>
    <w:p w:rsidR="004C2FD0" w:rsidRPr="002D1EA2" w:rsidRDefault="004C2FD0" w:rsidP="00CC7D2A">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xml:space="preserve">Дія регуляторного акта розповсюджується на фізичних та юридичних осіб, у тому числі нерезидентів, які є власниками об'єктів житлової та/або нежитлової нерухомості, розташованих на території </w:t>
      </w:r>
      <w:r w:rsidR="00CC7D2A">
        <w:rPr>
          <w:rFonts w:ascii="Times New Roman" w:eastAsia="Times New Roman" w:hAnsi="Times New Roman" w:cs="Times New Roman"/>
          <w:color w:val="333333"/>
          <w:sz w:val="24"/>
          <w:szCs w:val="24"/>
          <w:lang w:eastAsia="uk-UA"/>
        </w:rPr>
        <w:t>Луцької міської територіальної громади</w:t>
      </w:r>
      <w:r w:rsidRPr="002D1EA2">
        <w:rPr>
          <w:rFonts w:ascii="Times New Roman" w:eastAsia="Times New Roman" w:hAnsi="Times New Roman" w:cs="Times New Roman"/>
          <w:color w:val="333333"/>
          <w:sz w:val="24"/>
          <w:szCs w:val="24"/>
          <w:lang w:eastAsia="uk-UA"/>
        </w:rPr>
        <w:t>.</w:t>
      </w:r>
    </w:p>
    <w:p w:rsidR="004C2FD0" w:rsidRPr="002D1EA2" w:rsidRDefault="004C2FD0" w:rsidP="00CC7D2A">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Податок не є новим, тому додаткових витрат бюджету на впровадження та адміністрування  регулювання не передбачається. Незалежно від того чи будуть встановлені ставки податку на нерухоме майно, відмінне від земельної ділянки, видатки фіскальних органів та органів місцевого самоврядування не зміняться.</w:t>
      </w:r>
    </w:p>
    <w:p w:rsidR="004C2FD0" w:rsidRPr="002D1EA2" w:rsidRDefault="004C2FD0" w:rsidP="00CC7D2A">
      <w:pPr>
        <w:shd w:val="clear" w:color="auto" w:fill="FFFFFF"/>
        <w:spacing w:after="135" w:line="240" w:lineRule="auto"/>
        <w:ind w:firstLine="708"/>
        <w:jc w:val="both"/>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Здійснено розрахунок витрат на виконання вимог регуляторного акта для органів виконавчої влади та для суб’єктів господарювання великого, середнього й малого підприємництва згідно з Методикою проведення аналізу впливу регуляторного акта, затвердженою Постановою Кабінету Міністрів України від 11 березня 2004 року №308 «Про затвердження методик проведення аналізу впливу та відстеження результативності регуляторного акта»,  зі змінами (додатки 1, 2, 3).</w:t>
      </w:r>
    </w:p>
    <w:p w:rsidR="004C2FD0" w:rsidRPr="002D1EA2" w:rsidRDefault="004C2FD0" w:rsidP="004C2FD0">
      <w:pPr>
        <w:shd w:val="clear" w:color="auto" w:fill="FFFFFF"/>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p w:rsidR="004C2FD0" w:rsidRPr="002D1EA2" w:rsidRDefault="004C2FD0" w:rsidP="00CC7D2A">
      <w:pPr>
        <w:shd w:val="clear" w:color="auto" w:fill="FFFFFF"/>
        <w:spacing w:after="0"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color w:val="333333"/>
          <w:sz w:val="24"/>
          <w:szCs w:val="24"/>
          <w:lang w:eastAsia="uk-UA"/>
        </w:rPr>
        <w:t>VII. Обґрунтування запропонованого строку дії</w:t>
      </w:r>
    </w:p>
    <w:p w:rsidR="004C2FD0" w:rsidRPr="002D1EA2" w:rsidRDefault="004C2FD0" w:rsidP="00CC7D2A">
      <w:pPr>
        <w:shd w:val="clear" w:color="auto" w:fill="FFFFFF"/>
        <w:spacing w:after="0"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color w:val="333333"/>
          <w:sz w:val="24"/>
          <w:szCs w:val="24"/>
          <w:lang w:eastAsia="uk-UA"/>
        </w:rPr>
        <w:t>регуляторного акта</w:t>
      </w:r>
    </w:p>
    <w:p w:rsidR="004C2FD0" w:rsidRPr="002D1EA2" w:rsidRDefault="004C2FD0" w:rsidP="001C2CD7">
      <w:pPr>
        <w:shd w:val="clear" w:color="auto" w:fill="FFFFFF"/>
        <w:spacing w:after="0" w:line="240" w:lineRule="auto"/>
        <w:ind w:firstLine="708"/>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Рішення набирає чинності з початку бюджетного періоду, тобто з 01.01.2021, та діє протягом року</w:t>
      </w:r>
      <w:r w:rsidR="00CC7D2A">
        <w:rPr>
          <w:rFonts w:ascii="Times New Roman" w:eastAsia="Times New Roman" w:hAnsi="Times New Roman" w:cs="Times New Roman"/>
          <w:color w:val="333333"/>
          <w:sz w:val="24"/>
          <w:szCs w:val="24"/>
          <w:lang w:eastAsia="uk-UA"/>
        </w:rPr>
        <w:t>.</w:t>
      </w:r>
    </w:p>
    <w:p w:rsidR="004C2FD0" w:rsidRPr="002D1EA2" w:rsidRDefault="004C2FD0" w:rsidP="00CC7D2A">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xml:space="preserve">Передбачається, що відповідно з обраною альтернативою, платники податку на нерухоме майно, відмінне від земельної ділянки, будуть неухильно виконувати вимоги запропонованого </w:t>
      </w:r>
      <w:proofErr w:type="spellStart"/>
      <w:r w:rsidRPr="002D1EA2">
        <w:rPr>
          <w:rFonts w:ascii="Times New Roman" w:eastAsia="Times New Roman" w:hAnsi="Times New Roman" w:cs="Times New Roman"/>
          <w:color w:val="333333"/>
          <w:sz w:val="24"/>
          <w:szCs w:val="24"/>
          <w:lang w:eastAsia="uk-UA"/>
        </w:rPr>
        <w:t>про</w:t>
      </w:r>
      <w:r w:rsidR="00CC7D2A">
        <w:rPr>
          <w:rFonts w:ascii="Times New Roman" w:eastAsia="Times New Roman" w:hAnsi="Times New Roman" w:cs="Times New Roman"/>
          <w:color w:val="333333"/>
          <w:sz w:val="24"/>
          <w:szCs w:val="24"/>
          <w:lang w:eastAsia="uk-UA"/>
        </w:rPr>
        <w:t>є</w:t>
      </w:r>
      <w:r w:rsidRPr="002D1EA2">
        <w:rPr>
          <w:rFonts w:ascii="Times New Roman" w:eastAsia="Times New Roman" w:hAnsi="Times New Roman" w:cs="Times New Roman"/>
          <w:color w:val="333333"/>
          <w:sz w:val="24"/>
          <w:szCs w:val="24"/>
          <w:lang w:eastAsia="uk-UA"/>
        </w:rPr>
        <w:t>кту</w:t>
      </w:r>
      <w:proofErr w:type="spellEnd"/>
      <w:r w:rsidRPr="002D1EA2">
        <w:rPr>
          <w:rFonts w:ascii="Times New Roman" w:eastAsia="Times New Roman" w:hAnsi="Times New Roman" w:cs="Times New Roman"/>
          <w:color w:val="333333"/>
          <w:sz w:val="24"/>
          <w:szCs w:val="24"/>
          <w:lang w:eastAsia="uk-UA"/>
        </w:rPr>
        <w:t xml:space="preserve"> рішення, тобто в повному обсязі та своєчасно здійснювати податкові платежі. </w:t>
      </w:r>
    </w:p>
    <w:p w:rsidR="004C2FD0" w:rsidRPr="002D1EA2" w:rsidRDefault="004C2FD0" w:rsidP="001C2CD7">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Упровадж</w:t>
      </w:r>
      <w:r w:rsidR="0046296D">
        <w:rPr>
          <w:rFonts w:ascii="Times New Roman" w:eastAsia="Times New Roman" w:hAnsi="Times New Roman" w:cs="Times New Roman"/>
          <w:color w:val="333333"/>
          <w:sz w:val="24"/>
          <w:szCs w:val="24"/>
          <w:lang w:eastAsia="uk-UA"/>
        </w:rPr>
        <w:t>ення  та  виконання  вимог  </w:t>
      </w:r>
      <w:proofErr w:type="spellStart"/>
      <w:r w:rsidR="0046296D">
        <w:rPr>
          <w:rFonts w:ascii="Times New Roman" w:eastAsia="Times New Roman" w:hAnsi="Times New Roman" w:cs="Times New Roman"/>
          <w:color w:val="333333"/>
          <w:sz w:val="24"/>
          <w:szCs w:val="24"/>
          <w:lang w:eastAsia="uk-UA"/>
        </w:rPr>
        <w:t>проє</w:t>
      </w:r>
      <w:r w:rsidRPr="002D1EA2">
        <w:rPr>
          <w:rFonts w:ascii="Times New Roman" w:eastAsia="Times New Roman" w:hAnsi="Times New Roman" w:cs="Times New Roman"/>
          <w:color w:val="333333"/>
          <w:sz w:val="24"/>
          <w:szCs w:val="24"/>
          <w:lang w:eastAsia="uk-UA"/>
        </w:rPr>
        <w:t>кту</w:t>
      </w:r>
      <w:proofErr w:type="spellEnd"/>
      <w:r w:rsidRPr="002D1EA2">
        <w:rPr>
          <w:rFonts w:ascii="Times New Roman" w:eastAsia="Times New Roman" w:hAnsi="Times New Roman" w:cs="Times New Roman"/>
          <w:color w:val="333333"/>
          <w:sz w:val="24"/>
          <w:szCs w:val="24"/>
          <w:lang w:eastAsia="uk-UA"/>
        </w:rPr>
        <w:t xml:space="preserve">  рішення</w:t>
      </w:r>
      <w:r w:rsidR="00CC7D2A">
        <w:rPr>
          <w:rFonts w:ascii="Times New Roman" w:eastAsia="Times New Roman" w:hAnsi="Times New Roman" w:cs="Times New Roman"/>
          <w:color w:val="333333"/>
          <w:sz w:val="24"/>
          <w:szCs w:val="24"/>
          <w:lang w:eastAsia="uk-UA"/>
        </w:rPr>
        <w:t xml:space="preserve"> </w:t>
      </w:r>
      <w:r w:rsidRPr="002D1EA2">
        <w:rPr>
          <w:rFonts w:ascii="Times New Roman" w:eastAsia="Times New Roman" w:hAnsi="Times New Roman" w:cs="Times New Roman"/>
          <w:color w:val="333333"/>
          <w:sz w:val="24"/>
          <w:szCs w:val="24"/>
          <w:lang w:eastAsia="uk-UA"/>
        </w:rPr>
        <w:t>міської ради</w:t>
      </w:r>
      <w:r w:rsidR="00CC7D2A">
        <w:rPr>
          <w:rFonts w:ascii="Times New Roman" w:eastAsia="Times New Roman" w:hAnsi="Times New Roman" w:cs="Times New Roman"/>
          <w:color w:val="333333"/>
          <w:sz w:val="24"/>
          <w:szCs w:val="24"/>
          <w:lang w:eastAsia="uk-UA"/>
        </w:rPr>
        <w:t xml:space="preserve"> </w:t>
      </w:r>
      <w:r w:rsidRPr="002D1EA2">
        <w:rPr>
          <w:rFonts w:ascii="Times New Roman" w:eastAsia="Times New Roman" w:hAnsi="Times New Roman" w:cs="Times New Roman"/>
          <w:color w:val="333333"/>
          <w:sz w:val="24"/>
          <w:szCs w:val="24"/>
          <w:lang w:eastAsia="uk-UA"/>
        </w:rPr>
        <w:t>не потребує забезпечення ресурсами, оскільки податок не є новим.</w:t>
      </w:r>
    </w:p>
    <w:p w:rsidR="004C2FD0" w:rsidRPr="002D1EA2" w:rsidRDefault="004C2FD0" w:rsidP="001C2CD7">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На дію регуляторного акта можуть негативно вплинути економічна криза та значні темпи інфляції.</w:t>
      </w:r>
    </w:p>
    <w:p w:rsidR="004C2FD0" w:rsidRPr="002D1EA2" w:rsidRDefault="004C2FD0" w:rsidP="004C2FD0">
      <w:pPr>
        <w:shd w:val="clear" w:color="auto" w:fill="FFFFFF"/>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p w:rsidR="004C2FD0" w:rsidRPr="002D1EA2" w:rsidRDefault="004C2FD0" w:rsidP="001C2CD7">
      <w:pPr>
        <w:shd w:val="clear" w:color="auto" w:fill="FFFFFF"/>
        <w:spacing w:after="0"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color w:val="333333"/>
          <w:sz w:val="24"/>
          <w:szCs w:val="24"/>
          <w:lang w:eastAsia="uk-UA"/>
        </w:rPr>
        <w:t>VIII. Визначення показників результативності дії</w:t>
      </w:r>
    </w:p>
    <w:p w:rsidR="004C2FD0" w:rsidRPr="002D1EA2" w:rsidRDefault="004C2FD0" w:rsidP="001C2CD7">
      <w:pPr>
        <w:shd w:val="clear" w:color="auto" w:fill="FFFFFF"/>
        <w:spacing w:after="0"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color w:val="333333"/>
          <w:sz w:val="24"/>
          <w:szCs w:val="24"/>
          <w:lang w:eastAsia="uk-UA"/>
        </w:rPr>
        <w:t>регуляторного акта</w:t>
      </w:r>
    </w:p>
    <w:p w:rsidR="004C2FD0" w:rsidRPr="002D1EA2" w:rsidRDefault="004C2FD0" w:rsidP="00430FB6">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xml:space="preserve">Досягнення визначених цілей шляхом виконання вимог нового регуляторного акта забезпечить надходження до бюджету </w:t>
      </w:r>
      <w:r w:rsidR="00430FB6">
        <w:rPr>
          <w:rFonts w:ascii="Times New Roman" w:eastAsia="Times New Roman" w:hAnsi="Times New Roman" w:cs="Times New Roman"/>
          <w:color w:val="333333"/>
          <w:sz w:val="24"/>
          <w:szCs w:val="24"/>
          <w:lang w:eastAsia="uk-UA"/>
        </w:rPr>
        <w:t>громади</w:t>
      </w:r>
      <w:r w:rsidRPr="002D1EA2">
        <w:rPr>
          <w:rFonts w:ascii="Times New Roman" w:eastAsia="Times New Roman" w:hAnsi="Times New Roman" w:cs="Times New Roman"/>
          <w:color w:val="333333"/>
          <w:sz w:val="24"/>
          <w:szCs w:val="24"/>
          <w:lang w:eastAsia="uk-UA"/>
        </w:rPr>
        <w:t xml:space="preserve"> коштів для виконання заходів, передбачених цільовими програмами.</w:t>
      </w:r>
    </w:p>
    <w:p w:rsidR="004C2FD0" w:rsidRPr="002D1EA2" w:rsidRDefault="004C2FD0" w:rsidP="00430FB6">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До кількісних показників належать: чисельність платників податку, на яких поширюється дія регуляторного акта, та суми коштів від його сплати.</w:t>
      </w:r>
    </w:p>
    <w:p w:rsidR="004C2FD0" w:rsidRPr="002D1EA2" w:rsidRDefault="004C2FD0" w:rsidP="00430FB6">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Крім кількісних показників до вигод належить з</w:t>
      </w:r>
      <w:r w:rsidR="0046296D">
        <w:rPr>
          <w:rFonts w:ascii="Times New Roman" w:eastAsia="Times New Roman" w:hAnsi="Times New Roman" w:cs="Times New Roman"/>
          <w:color w:val="333333"/>
          <w:sz w:val="24"/>
          <w:szCs w:val="24"/>
          <w:lang w:eastAsia="uk-UA"/>
        </w:rPr>
        <w:t>абезпечення фінансування місцевих</w:t>
      </w:r>
      <w:r w:rsidRPr="002D1EA2">
        <w:rPr>
          <w:rFonts w:ascii="Times New Roman" w:eastAsia="Times New Roman" w:hAnsi="Times New Roman" w:cs="Times New Roman"/>
          <w:color w:val="333333"/>
          <w:sz w:val="24"/>
          <w:szCs w:val="24"/>
          <w:lang w:eastAsia="uk-UA"/>
        </w:rPr>
        <w:t xml:space="preserve"> програм за рахунок збільшення на</w:t>
      </w:r>
      <w:r w:rsidR="0046296D">
        <w:rPr>
          <w:rFonts w:ascii="Times New Roman" w:eastAsia="Times New Roman" w:hAnsi="Times New Roman" w:cs="Times New Roman"/>
          <w:color w:val="333333"/>
          <w:sz w:val="24"/>
          <w:szCs w:val="24"/>
          <w:lang w:eastAsia="uk-UA"/>
        </w:rPr>
        <w:t>дходжень коштів до бюджету громади</w:t>
      </w:r>
      <w:r w:rsidRPr="002D1EA2">
        <w:rPr>
          <w:rFonts w:ascii="Times New Roman" w:eastAsia="Times New Roman" w:hAnsi="Times New Roman" w:cs="Times New Roman"/>
          <w:color w:val="333333"/>
          <w:sz w:val="24"/>
          <w:szCs w:val="24"/>
          <w:lang w:eastAsia="uk-UA"/>
        </w:rPr>
        <w:t xml:space="preserve"> від сплати податку</w:t>
      </w:r>
      <w:r w:rsidR="001C2CD7">
        <w:rPr>
          <w:rFonts w:ascii="Times New Roman" w:eastAsia="Times New Roman" w:hAnsi="Times New Roman" w:cs="Times New Roman"/>
          <w:color w:val="333333"/>
          <w:sz w:val="24"/>
          <w:szCs w:val="24"/>
          <w:lang w:eastAsia="uk-UA"/>
        </w:rPr>
        <w:t>.</w:t>
      </w:r>
    </w:p>
    <w:p w:rsidR="004C2FD0" w:rsidRPr="002D1EA2" w:rsidRDefault="004C2FD0" w:rsidP="00430FB6">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lastRenderedPageBreak/>
        <w:t>Для відстеження результативності дії регуляторного акта визначено такі показники:</w:t>
      </w:r>
    </w:p>
    <w:tbl>
      <w:tblPr>
        <w:tblW w:w="978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70"/>
        <w:gridCol w:w="6090"/>
        <w:gridCol w:w="1560"/>
        <w:gridCol w:w="1560"/>
      </w:tblGrid>
      <w:tr w:rsidR="004C2FD0" w:rsidRPr="002D1EA2" w:rsidTr="004C2FD0">
        <w:trPr>
          <w:trHeight w:val="555"/>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 з/п</w:t>
            </w:r>
          </w:p>
        </w:tc>
        <w:tc>
          <w:tcPr>
            <w:tcW w:w="60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Показник</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2021 рік</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2022 рік (сплата згідно з підпунктом  266.7.2 статті 266 Кодексу)</w:t>
            </w:r>
          </w:p>
        </w:tc>
      </w:tr>
      <w:tr w:rsidR="004C2FD0" w:rsidRPr="002D1EA2" w:rsidTr="004C2FD0">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1</w:t>
            </w:r>
          </w:p>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tc>
        <w:tc>
          <w:tcPr>
            <w:tcW w:w="60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Кількість платників податку, на яких поширюватиметься регуляторний акт, осіб:</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tc>
      </w:tr>
      <w:tr w:rsidR="004C2FD0" w:rsidRPr="002D1EA2" w:rsidTr="004C2FD0">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1.1</w:t>
            </w:r>
          </w:p>
        </w:tc>
        <w:tc>
          <w:tcPr>
            <w:tcW w:w="60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юридичні особи;</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30FB6" w:rsidP="004C2FD0">
            <w:pPr>
              <w:spacing w:after="135"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912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tc>
      </w:tr>
      <w:tr w:rsidR="004C2FD0" w:rsidRPr="002D1EA2" w:rsidTr="004C2FD0">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1.2</w:t>
            </w:r>
          </w:p>
        </w:tc>
        <w:tc>
          <w:tcPr>
            <w:tcW w:w="60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фізичні особи</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30FB6" w:rsidP="004C2FD0">
            <w:pPr>
              <w:spacing w:after="135"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4257</w:t>
            </w:r>
          </w:p>
        </w:tc>
      </w:tr>
      <w:tr w:rsidR="004C2FD0" w:rsidRPr="002D1EA2" w:rsidTr="004C2FD0">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2</w:t>
            </w:r>
          </w:p>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tc>
        <w:tc>
          <w:tcPr>
            <w:tcW w:w="60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Надходження до бюджету міста коштів від сплати податку на нерухоме майно, відмінне від земельної ділянки (млн. грн.):</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tc>
      </w:tr>
      <w:tr w:rsidR="004C2FD0" w:rsidRPr="002D1EA2" w:rsidTr="004C2FD0">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2.1</w:t>
            </w:r>
          </w:p>
        </w:tc>
        <w:tc>
          <w:tcPr>
            <w:tcW w:w="60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юридичні особи;</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30FB6" w:rsidP="004C2FD0">
            <w:pPr>
              <w:spacing w:after="135"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57</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tc>
      </w:tr>
      <w:tr w:rsidR="004C2FD0" w:rsidRPr="002D1EA2" w:rsidTr="004C2FD0">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2.2</w:t>
            </w:r>
          </w:p>
        </w:tc>
        <w:tc>
          <w:tcPr>
            <w:tcW w:w="60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фізичні особи</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30FB6" w:rsidP="004C2FD0">
            <w:pPr>
              <w:spacing w:after="135"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3927</w:t>
            </w:r>
          </w:p>
        </w:tc>
      </w:tr>
      <w:tr w:rsidR="004C2FD0" w:rsidRPr="002D1EA2" w:rsidTr="004C2FD0">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3</w:t>
            </w:r>
          </w:p>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tc>
        <w:tc>
          <w:tcPr>
            <w:tcW w:w="60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1C2CD7">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Розмір коштів і час, що витрачаються суб’єктами господарювання – юридичними особами, пов’язані з виконанням вимог акта (</w:t>
            </w:r>
            <w:proofErr w:type="spellStart"/>
            <w:r w:rsidRPr="002D1EA2">
              <w:rPr>
                <w:rFonts w:ascii="Times New Roman" w:eastAsia="Times New Roman" w:hAnsi="Times New Roman" w:cs="Times New Roman"/>
                <w:color w:val="333333"/>
                <w:sz w:val="24"/>
                <w:szCs w:val="24"/>
                <w:lang w:eastAsia="uk-UA"/>
              </w:rPr>
              <w:t>грн</w:t>
            </w:r>
            <w:proofErr w:type="spellEnd"/>
            <w:r w:rsidRPr="002D1EA2">
              <w:rPr>
                <w:rFonts w:ascii="Times New Roman" w:eastAsia="Times New Roman" w:hAnsi="Times New Roman" w:cs="Times New Roman"/>
                <w:color w:val="333333"/>
                <w:sz w:val="24"/>
                <w:szCs w:val="24"/>
                <w:lang w:eastAsia="uk-UA"/>
              </w:rPr>
              <w:t>/</w:t>
            </w:r>
            <w:proofErr w:type="spellStart"/>
            <w:r w:rsidRPr="002D1EA2">
              <w:rPr>
                <w:rFonts w:ascii="Times New Roman" w:eastAsia="Times New Roman" w:hAnsi="Times New Roman" w:cs="Times New Roman"/>
                <w:color w:val="333333"/>
                <w:sz w:val="24"/>
                <w:szCs w:val="24"/>
                <w:lang w:eastAsia="uk-UA"/>
              </w:rPr>
              <w:t>год</w:t>
            </w:r>
            <w:proofErr w:type="spellEnd"/>
            <w:r w:rsidRPr="002D1EA2">
              <w:rPr>
                <w:rFonts w:ascii="Times New Roman" w:eastAsia="Times New Roman" w:hAnsi="Times New Roman" w:cs="Times New Roman"/>
                <w:color w:val="333333"/>
                <w:sz w:val="24"/>
                <w:szCs w:val="24"/>
                <w:lang w:eastAsia="uk-UA"/>
              </w:rPr>
              <w: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8,49/ 0,30</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tc>
      </w:tr>
      <w:tr w:rsidR="004C2FD0" w:rsidRPr="002D1EA2" w:rsidTr="004C2FD0">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4</w:t>
            </w:r>
          </w:p>
        </w:tc>
        <w:tc>
          <w:tcPr>
            <w:tcW w:w="60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Рівень поінформованості суб’єктів господарювання, пов'язаний з державним регулюванням</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Високий</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tc>
      </w:tr>
    </w:tbl>
    <w:p w:rsidR="004C2FD0" w:rsidRPr="002D1EA2" w:rsidRDefault="004C2FD0" w:rsidP="001C2CD7">
      <w:pPr>
        <w:shd w:val="clear" w:color="auto" w:fill="FFFFFF"/>
        <w:spacing w:after="135" w:line="240" w:lineRule="auto"/>
        <w:jc w:val="both"/>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i/>
          <w:iCs/>
          <w:color w:val="333333"/>
          <w:sz w:val="24"/>
          <w:szCs w:val="24"/>
          <w:lang w:eastAsia="uk-UA"/>
        </w:rPr>
        <w:t xml:space="preserve"> * Розмір коштів і час, що витрачатимуться суб’єктами господарювання – юридичними особами, пов’язаний з виконанням вимог акта, може бути змінений, якщо зміниться розмір мінімальної заробітної плати.</w:t>
      </w:r>
    </w:p>
    <w:p w:rsidR="004C2FD0" w:rsidRPr="002D1EA2" w:rsidRDefault="004C2FD0" w:rsidP="004C2FD0">
      <w:pPr>
        <w:shd w:val="clear" w:color="auto" w:fill="FFFFFF"/>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i/>
          <w:iCs/>
          <w:color w:val="333333"/>
          <w:sz w:val="24"/>
          <w:szCs w:val="24"/>
          <w:lang w:eastAsia="uk-UA"/>
        </w:rPr>
        <w:t xml:space="preserve">8,49 </w:t>
      </w:r>
      <w:proofErr w:type="spellStart"/>
      <w:r w:rsidRPr="002D1EA2">
        <w:rPr>
          <w:rFonts w:ascii="Times New Roman" w:eastAsia="Times New Roman" w:hAnsi="Times New Roman" w:cs="Times New Roman"/>
          <w:i/>
          <w:iCs/>
          <w:color w:val="333333"/>
          <w:sz w:val="24"/>
          <w:szCs w:val="24"/>
          <w:lang w:eastAsia="uk-UA"/>
        </w:rPr>
        <w:t>грн</w:t>
      </w:r>
      <w:proofErr w:type="spellEnd"/>
      <w:r w:rsidRPr="002D1EA2">
        <w:rPr>
          <w:rFonts w:ascii="Times New Roman" w:eastAsia="Times New Roman" w:hAnsi="Times New Roman" w:cs="Times New Roman"/>
          <w:i/>
          <w:iCs/>
          <w:color w:val="333333"/>
          <w:sz w:val="24"/>
          <w:szCs w:val="24"/>
          <w:lang w:eastAsia="uk-UA"/>
        </w:rPr>
        <w:t xml:space="preserve"> – розмір коштів, </w:t>
      </w:r>
    </w:p>
    <w:p w:rsidR="004C2FD0" w:rsidRPr="002D1EA2" w:rsidRDefault="004C2FD0" w:rsidP="004C2FD0">
      <w:pPr>
        <w:shd w:val="clear" w:color="auto" w:fill="FFFFFF"/>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i/>
          <w:iCs/>
          <w:color w:val="333333"/>
          <w:sz w:val="24"/>
          <w:szCs w:val="24"/>
          <w:lang w:eastAsia="uk-UA"/>
        </w:rPr>
        <w:t>0,30 годин – розмір часу</w:t>
      </w:r>
    </w:p>
    <w:p w:rsidR="004C2FD0" w:rsidRPr="002D1EA2" w:rsidRDefault="004C2FD0" w:rsidP="004C2FD0">
      <w:pPr>
        <w:shd w:val="clear" w:color="auto" w:fill="FFFFFF"/>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p w:rsidR="004C2FD0" w:rsidRPr="002D1EA2" w:rsidRDefault="004C2FD0" w:rsidP="004C2FD0">
      <w:pPr>
        <w:shd w:val="clear" w:color="auto" w:fill="FFFFFF"/>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color w:val="333333"/>
          <w:sz w:val="24"/>
          <w:szCs w:val="24"/>
          <w:lang w:eastAsia="uk-UA"/>
        </w:rPr>
        <w:t>IX. Визначення заходів, за допомогою яких здійснюватиметься</w:t>
      </w:r>
      <w:r w:rsidRPr="002D1EA2">
        <w:rPr>
          <w:rFonts w:ascii="Times New Roman" w:eastAsia="Times New Roman" w:hAnsi="Times New Roman" w:cs="Times New Roman"/>
          <w:b/>
          <w:bCs/>
          <w:color w:val="333333"/>
          <w:sz w:val="24"/>
          <w:szCs w:val="24"/>
          <w:lang w:eastAsia="uk-UA"/>
        </w:rPr>
        <w:br/>
        <w:t>відстеження результативності дії регуляторного акта</w:t>
      </w:r>
    </w:p>
    <w:p w:rsidR="004C2FD0" w:rsidRPr="002D1EA2" w:rsidRDefault="004C2FD0" w:rsidP="001C2CD7">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Відстеження результативності дії акта буде здійснюватися в терміни, визначені Законом України «Про засади державної регуляторної політики у сфері господарської діяльності» та відповідно до методики, затвердженої Постановою Кабінету Міністрів України від 11 березня 2004 року №308 «Про затвердження методик проведення аналізу впливу та відстеження результативності регуляторного акта», зі змінами:</w:t>
      </w:r>
    </w:p>
    <w:p w:rsidR="004C2FD0" w:rsidRPr="002D1EA2" w:rsidRDefault="004C2FD0" w:rsidP="00430FB6">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базове відстеження буде проводитися до дня набуття чинності регуляторним актом з метою оцінки стану суспільних відносин, на врегулювання яких спрямована дія акта;</w:t>
      </w:r>
    </w:p>
    <w:p w:rsidR="001C2CD7" w:rsidRDefault="004C2FD0" w:rsidP="001C2CD7">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xml:space="preserve">- повторне відстеження буде проводитися за три місяці до дня закінчення визначеного строку, але не пізніше дня закінчення визначеного строку з метою оцінки ступеня досягнення актом визначених цілей, тобто встановлення ставок податку на нерухоме майно, відмінне від земельної ділянки, відповідно до вимог Кодексу, надходження податку в сумі </w:t>
      </w:r>
      <w:r w:rsidR="00430FB6">
        <w:rPr>
          <w:rFonts w:ascii="Times New Roman" w:eastAsia="Times New Roman" w:hAnsi="Times New Roman" w:cs="Times New Roman"/>
          <w:color w:val="333333"/>
          <w:sz w:val="24"/>
          <w:szCs w:val="24"/>
          <w:lang w:eastAsia="uk-UA"/>
        </w:rPr>
        <w:t xml:space="preserve">49,0 </w:t>
      </w:r>
      <w:proofErr w:type="spellStart"/>
      <w:r w:rsidR="00430FB6">
        <w:rPr>
          <w:rFonts w:ascii="Times New Roman" w:eastAsia="Times New Roman" w:hAnsi="Times New Roman" w:cs="Times New Roman"/>
          <w:color w:val="333333"/>
          <w:sz w:val="24"/>
          <w:szCs w:val="24"/>
          <w:lang w:eastAsia="uk-UA"/>
        </w:rPr>
        <w:t>млн</w:t>
      </w:r>
      <w:r w:rsidRPr="002D1EA2">
        <w:rPr>
          <w:rFonts w:ascii="Times New Roman" w:eastAsia="Times New Roman" w:hAnsi="Times New Roman" w:cs="Times New Roman"/>
          <w:color w:val="333333"/>
          <w:sz w:val="24"/>
          <w:szCs w:val="24"/>
          <w:lang w:eastAsia="uk-UA"/>
        </w:rPr>
        <w:t>.грн</w:t>
      </w:r>
      <w:proofErr w:type="spellEnd"/>
      <w:r w:rsidRPr="002D1EA2">
        <w:rPr>
          <w:rFonts w:ascii="Times New Roman" w:eastAsia="Times New Roman" w:hAnsi="Times New Roman" w:cs="Times New Roman"/>
          <w:color w:val="333333"/>
          <w:sz w:val="24"/>
          <w:szCs w:val="24"/>
          <w:lang w:eastAsia="uk-UA"/>
        </w:rPr>
        <w:t>. (базовий податковий (звітний) період дорівнює календарному року – 2021 рік / підпункт 33.3 статті 33 Кодексу/).</w:t>
      </w:r>
    </w:p>
    <w:p w:rsidR="004C2FD0" w:rsidRPr="002D1EA2" w:rsidRDefault="004C2FD0" w:rsidP="001C2CD7">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xml:space="preserve">Відстеження результативності дії акта буде здійснюватися відповідальними за підготовку – </w:t>
      </w:r>
      <w:r w:rsidR="00430FB6">
        <w:rPr>
          <w:rFonts w:ascii="Times New Roman" w:eastAsia="Times New Roman" w:hAnsi="Times New Roman" w:cs="Times New Roman"/>
          <w:color w:val="333333"/>
          <w:sz w:val="24"/>
          <w:szCs w:val="24"/>
          <w:lang w:eastAsia="uk-UA"/>
        </w:rPr>
        <w:t>департаментом фінансів та бюджету Луцької</w:t>
      </w:r>
      <w:r w:rsidRPr="002D1EA2">
        <w:rPr>
          <w:rFonts w:ascii="Times New Roman" w:eastAsia="Times New Roman" w:hAnsi="Times New Roman" w:cs="Times New Roman"/>
          <w:color w:val="333333"/>
          <w:sz w:val="24"/>
          <w:szCs w:val="24"/>
          <w:lang w:eastAsia="uk-UA"/>
        </w:rPr>
        <w:t xml:space="preserve"> міської ради, шляхом аналізу </w:t>
      </w:r>
      <w:r w:rsidRPr="002D1EA2">
        <w:rPr>
          <w:rFonts w:ascii="Times New Roman" w:eastAsia="Times New Roman" w:hAnsi="Times New Roman" w:cs="Times New Roman"/>
          <w:color w:val="333333"/>
          <w:sz w:val="24"/>
          <w:szCs w:val="24"/>
          <w:lang w:eastAsia="uk-UA"/>
        </w:rPr>
        <w:lastRenderedPageBreak/>
        <w:t xml:space="preserve">статистичних даних щодо чисельності платників податку та надходження коштів до бюджету </w:t>
      </w:r>
      <w:r w:rsidR="00430FB6">
        <w:rPr>
          <w:rFonts w:ascii="Times New Roman" w:eastAsia="Times New Roman" w:hAnsi="Times New Roman" w:cs="Times New Roman"/>
          <w:color w:val="333333"/>
          <w:sz w:val="24"/>
          <w:szCs w:val="24"/>
          <w:lang w:eastAsia="uk-UA"/>
        </w:rPr>
        <w:t>громади</w:t>
      </w:r>
      <w:r w:rsidRPr="002D1EA2">
        <w:rPr>
          <w:rFonts w:ascii="Times New Roman" w:eastAsia="Times New Roman" w:hAnsi="Times New Roman" w:cs="Times New Roman"/>
          <w:color w:val="333333"/>
          <w:sz w:val="24"/>
          <w:szCs w:val="24"/>
          <w:lang w:eastAsia="uk-UA"/>
        </w:rPr>
        <w:t>, наданих Головним управління Д</w:t>
      </w:r>
      <w:r w:rsidR="00430FB6">
        <w:rPr>
          <w:rFonts w:ascii="Times New Roman" w:eastAsia="Times New Roman" w:hAnsi="Times New Roman" w:cs="Times New Roman"/>
          <w:color w:val="333333"/>
          <w:sz w:val="24"/>
          <w:szCs w:val="24"/>
          <w:lang w:eastAsia="uk-UA"/>
        </w:rPr>
        <w:t>П</w:t>
      </w:r>
      <w:r w:rsidRPr="002D1EA2">
        <w:rPr>
          <w:rFonts w:ascii="Times New Roman" w:eastAsia="Times New Roman" w:hAnsi="Times New Roman" w:cs="Times New Roman"/>
          <w:color w:val="333333"/>
          <w:sz w:val="24"/>
          <w:szCs w:val="24"/>
          <w:lang w:eastAsia="uk-UA"/>
        </w:rPr>
        <w:t xml:space="preserve">С у </w:t>
      </w:r>
      <w:r w:rsidR="00430FB6">
        <w:rPr>
          <w:rFonts w:ascii="Times New Roman" w:eastAsia="Times New Roman" w:hAnsi="Times New Roman" w:cs="Times New Roman"/>
          <w:color w:val="333333"/>
          <w:sz w:val="24"/>
          <w:szCs w:val="24"/>
          <w:lang w:eastAsia="uk-UA"/>
        </w:rPr>
        <w:t>Волинській</w:t>
      </w:r>
      <w:r w:rsidRPr="002D1EA2">
        <w:rPr>
          <w:rFonts w:ascii="Times New Roman" w:eastAsia="Times New Roman" w:hAnsi="Times New Roman" w:cs="Times New Roman"/>
          <w:color w:val="333333"/>
          <w:sz w:val="24"/>
          <w:szCs w:val="24"/>
          <w:lang w:eastAsia="uk-UA"/>
        </w:rPr>
        <w:t xml:space="preserve"> області розробникам регуляторного акта, та на підставі консультацій з представниками консультативно-дорадчих органів щодо розміру коштів і часу суб’єктів господарювання на виконання вимог регулювання.</w:t>
      </w:r>
    </w:p>
    <w:p w:rsidR="004C2FD0" w:rsidRPr="002D1EA2" w:rsidRDefault="004C2FD0" w:rsidP="00430FB6">
      <w:pPr>
        <w:shd w:val="clear" w:color="auto" w:fill="FFFFFF"/>
        <w:spacing w:after="135" w:line="240" w:lineRule="auto"/>
        <w:jc w:val="both"/>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p w:rsidR="004C2FD0" w:rsidRPr="002D1EA2" w:rsidRDefault="001C2CD7" w:rsidP="004C2FD0">
      <w:pPr>
        <w:shd w:val="clear" w:color="auto" w:fill="FFFFFF"/>
        <w:spacing w:after="135" w:line="240" w:lineRule="auto"/>
        <w:ind w:left="419"/>
        <w:rPr>
          <w:rFonts w:ascii="Times New Roman" w:eastAsia="Times New Roman" w:hAnsi="Times New Roman" w:cs="Times New Roman"/>
          <w:color w:val="333333"/>
          <w:sz w:val="24"/>
          <w:szCs w:val="24"/>
          <w:lang w:eastAsia="uk-UA"/>
        </w:rPr>
      </w:pPr>
      <w:r>
        <w:rPr>
          <w:rFonts w:ascii="Times New Roman" w:eastAsia="Times New Roman" w:hAnsi="Times New Roman" w:cs="Times New Roman"/>
          <w:i/>
          <w:iCs/>
          <w:color w:val="333333"/>
          <w:sz w:val="24"/>
          <w:szCs w:val="24"/>
          <w:lang w:eastAsia="uk-UA"/>
        </w:rPr>
        <w:t xml:space="preserve">                                                                                        </w:t>
      </w:r>
      <w:r w:rsidR="004C2FD0" w:rsidRPr="002D1EA2">
        <w:rPr>
          <w:rFonts w:ascii="Times New Roman" w:eastAsia="Times New Roman" w:hAnsi="Times New Roman" w:cs="Times New Roman"/>
          <w:i/>
          <w:iCs/>
          <w:color w:val="333333"/>
          <w:sz w:val="24"/>
          <w:szCs w:val="24"/>
          <w:lang w:eastAsia="uk-UA"/>
        </w:rPr>
        <w:t>Додаток  1</w:t>
      </w:r>
    </w:p>
    <w:p w:rsidR="004C2FD0" w:rsidRPr="002D1EA2" w:rsidRDefault="004C2FD0" w:rsidP="004C2FD0">
      <w:pPr>
        <w:shd w:val="clear" w:color="auto" w:fill="FFFFFF"/>
        <w:spacing w:after="135" w:line="240" w:lineRule="auto"/>
        <w:ind w:left="5664"/>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i/>
          <w:iCs/>
          <w:color w:val="333333"/>
          <w:sz w:val="24"/>
          <w:szCs w:val="24"/>
          <w:lang w:eastAsia="uk-UA"/>
        </w:rPr>
        <w:t>до аналізу регуляторного впливу до проекту регуляторного акта – рішення міської ради «Про встановлення ставок та пільг зі сплати податку на нерухоме майно, відмінне від земельної ділянки на 2021 рік»</w:t>
      </w:r>
    </w:p>
    <w:p w:rsidR="004C2FD0" w:rsidRPr="002D1EA2" w:rsidRDefault="004C2FD0" w:rsidP="004C2FD0">
      <w:pPr>
        <w:shd w:val="clear" w:color="auto" w:fill="FFFFFF"/>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p w:rsidR="004C2FD0" w:rsidRPr="002D1EA2" w:rsidRDefault="004C2FD0" w:rsidP="004C2FD0">
      <w:pPr>
        <w:shd w:val="clear" w:color="auto" w:fill="FFFFFF"/>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ВИТРАТИ</w:t>
      </w:r>
      <w:r w:rsidRPr="002D1EA2">
        <w:rPr>
          <w:rFonts w:ascii="Times New Roman" w:eastAsia="Times New Roman" w:hAnsi="Times New Roman" w:cs="Times New Roman"/>
          <w:b/>
          <w:bCs/>
          <w:i/>
          <w:iCs/>
          <w:color w:val="333333"/>
          <w:sz w:val="24"/>
          <w:szCs w:val="24"/>
          <w:lang w:eastAsia="uk-UA"/>
        </w:rPr>
        <w:br/>
        <w:t>на одного суб’єкта господарювання великого й середнього підприємництва, що виникають внаслідок дії регуляторного акта*</w:t>
      </w:r>
    </w:p>
    <w:p w:rsidR="004C2FD0" w:rsidRPr="002D1EA2" w:rsidRDefault="004C2FD0" w:rsidP="004C2FD0">
      <w:pPr>
        <w:shd w:val="clear" w:color="auto" w:fill="FFFFFF"/>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p w:rsidR="004C2FD0" w:rsidRPr="002D1EA2" w:rsidRDefault="004C2FD0" w:rsidP="004C2FD0">
      <w:pPr>
        <w:shd w:val="clear" w:color="auto" w:fill="FFFFFF"/>
        <w:spacing w:after="135" w:line="240" w:lineRule="auto"/>
        <w:jc w:val="right"/>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i/>
          <w:iCs/>
          <w:color w:val="333333"/>
          <w:sz w:val="24"/>
          <w:szCs w:val="24"/>
          <w:lang w:eastAsia="uk-UA"/>
        </w:rPr>
        <w:t>Таблиця 1</w:t>
      </w:r>
    </w:p>
    <w:tbl>
      <w:tblPr>
        <w:tblW w:w="495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40"/>
        <w:gridCol w:w="5993"/>
        <w:gridCol w:w="3025"/>
      </w:tblGrid>
      <w:tr w:rsidR="004C2FD0" w:rsidRPr="002D1EA2" w:rsidTr="004C2FD0">
        <w:tc>
          <w:tcPr>
            <w:tcW w:w="11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w:t>
            </w:r>
          </w:p>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з/п</w:t>
            </w:r>
          </w:p>
        </w:tc>
        <w:tc>
          <w:tcPr>
            <w:tcW w:w="129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Витрати</w:t>
            </w:r>
          </w:p>
        </w:tc>
        <w:tc>
          <w:tcPr>
            <w:tcW w:w="4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На 2021 рік</w:t>
            </w:r>
          </w:p>
        </w:tc>
      </w:tr>
      <w:tr w:rsidR="004C2FD0" w:rsidRPr="002D1EA2" w:rsidTr="004C2FD0">
        <w:tc>
          <w:tcPr>
            <w:tcW w:w="11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1</w:t>
            </w:r>
          </w:p>
        </w:tc>
        <w:tc>
          <w:tcPr>
            <w:tcW w:w="129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2</w:t>
            </w:r>
          </w:p>
        </w:tc>
        <w:tc>
          <w:tcPr>
            <w:tcW w:w="4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3</w:t>
            </w:r>
          </w:p>
        </w:tc>
      </w:tr>
      <w:tr w:rsidR="004C2FD0" w:rsidRPr="002D1EA2" w:rsidTr="004C2FD0">
        <w:tc>
          <w:tcPr>
            <w:tcW w:w="1896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Оцінка «прямих» витрат суб’єктів великого й середнього  підприємництва на виконання регулювання</w:t>
            </w:r>
          </w:p>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tc>
      </w:tr>
      <w:tr w:rsidR="004C2FD0" w:rsidRPr="002D1EA2" w:rsidTr="004C2FD0">
        <w:tc>
          <w:tcPr>
            <w:tcW w:w="11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1</w:t>
            </w:r>
          </w:p>
        </w:tc>
        <w:tc>
          <w:tcPr>
            <w:tcW w:w="129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Витрати на придбання основних фондів, обладнання  та приладів, сервісне обслуговування, навчання/підвищення кваліфікації персоналу тощо, грн.</w:t>
            </w:r>
          </w:p>
        </w:tc>
        <w:tc>
          <w:tcPr>
            <w:tcW w:w="4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Цей податок не є новим і  не передбачає витрат на придбання основних фондів, обладнання та приладів, сервісне обслуговування, навчання/підвищення кваліфікації персоналу тощо</w:t>
            </w:r>
          </w:p>
        </w:tc>
      </w:tr>
      <w:tr w:rsidR="004C2FD0" w:rsidRPr="002D1EA2" w:rsidTr="00430FB6">
        <w:trPr>
          <w:trHeight w:val="1650"/>
        </w:trPr>
        <w:tc>
          <w:tcPr>
            <w:tcW w:w="11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2</w:t>
            </w:r>
          </w:p>
        </w:tc>
        <w:tc>
          <w:tcPr>
            <w:tcW w:w="129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30FB6">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Витрати на отримання адміністративних послуг (дозволів, ліцензій, сертифікатів, атестатів, погоджень, висновків, проведення незалежних/ обов’язкових експертиз, сертифікації, атестації тощо) та інших послуг (проведення наукових, інших експертиз, страхування тощо), грн. </w:t>
            </w:r>
          </w:p>
        </w:tc>
        <w:tc>
          <w:tcPr>
            <w:tcW w:w="4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Податок не є новим, додаткових витрат не передбачено</w:t>
            </w:r>
          </w:p>
        </w:tc>
      </w:tr>
      <w:tr w:rsidR="004C2FD0" w:rsidRPr="002D1EA2" w:rsidTr="004C2FD0">
        <w:tc>
          <w:tcPr>
            <w:tcW w:w="11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3</w:t>
            </w:r>
          </w:p>
        </w:tc>
        <w:tc>
          <w:tcPr>
            <w:tcW w:w="129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Витрати на оборотні активи (матеріали, канцелярські товари тощо), грн.</w:t>
            </w:r>
            <w:r w:rsidR="00430FB6">
              <w:rPr>
                <w:rFonts w:ascii="Times New Roman" w:eastAsia="Times New Roman" w:hAnsi="Times New Roman" w:cs="Times New Roman"/>
                <w:color w:val="333333"/>
                <w:sz w:val="24"/>
                <w:szCs w:val="24"/>
                <w:lang w:eastAsia="uk-UA"/>
              </w:rPr>
              <w:t xml:space="preserve"> </w:t>
            </w:r>
          </w:p>
        </w:tc>
        <w:tc>
          <w:tcPr>
            <w:tcW w:w="4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30FB6">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Податок не є новим, додаткових витрат не передбачено</w:t>
            </w:r>
            <w:r w:rsidR="00430FB6">
              <w:rPr>
                <w:rFonts w:ascii="Times New Roman" w:eastAsia="Times New Roman" w:hAnsi="Times New Roman" w:cs="Times New Roman"/>
                <w:color w:val="333333"/>
                <w:sz w:val="24"/>
                <w:szCs w:val="24"/>
                <w:lang w:eastAsia="uk-UA"/>
              </w:rPr>
              <w:t xml:space="preserve"> </w:t>
            </w:r>
            <w:r w:rsidRPr="002D1EA2">
              <w:rPr>
                <w:rFonts w:ascii="Times New Roman" w:eastAsia="Times New Roman" w:hAnsi="Times New Roman" w:cs="Times New Roman"/>
                <w:color w:val="333333"/>
                <w:sz w:val="24"/>
                <w:szCs w:val="24"/>
                <w:lang w:eastAsia="uk-UA"/>
              </w:rPr>
              <w:t> </w:t>
            </w:r>
          </w:p>
        </w:tc>
      </w:tr>
      <w:tr w:rsidR="004C2FD0" w:rsidRPr="002D1EA2" w:rsidTr="004C2FD0">
        <w:tc>
          <w:tcPr>
            <w:tcW w:w="11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4</w:t>
            </w:r>
          </w:p>
        </w:tc>
        <w:tc>
          <w:tcPr>
            <w:tcW w:w="129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Витрати, пов’язані з наймом додаткового персоналу, грн.</w:t>
            </w:r>
          </w:p>
        </w:tc>
        <w:tc>
          <w:tcPr>
            <w:tcW w:w="4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Податок не є новим, додаткових витрат не передбачено</w:t>
            </w:r>
          </w:p>
        </w:tc>
      </w:tr>
      <w:tr w:rsidR="004C2FD0" w:rsidRPr="002D1EA2" w:rsidTr="004C2FD0">
        <w:tc>
          <w:tcPr>
            <w:tcW w:w="11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5</w:t>
            </w:r>
          </w:p>
        </w:tc>
        <w:tc>
          <w:tcPr>
            <w:tcW w:w="129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xml:space="preserve">Кількість суб’єктів господарювання великого й </w:t>
            </w:r>
            <w:r w:rsidRPr="002D1EA2">
              <w:rPr>
                <w:rFonts w:ascii="Times New Roman" w:eastAsia="Times New Roman" w:hAnsi="Times New Roman" w:cs="Times New Roman"/>
                <w:color w:val="333333"/>
                <w:sz w:val="24"/>
                <w:szCs w:val="24"/>
                <w:lang w:eastAsia="uk-UA"/>
              </w:rPr>
              <w:lastRenderedPageBreak/>
              <w:t>середнього підприємництва, на які буде поширено регулювання, одиниць*</w:t>
            </w:r>
          </w:p>
        </w:tc>
        <w:tc>
          <w:tcPr>
            <w:tcW w:w="4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30FB6" w:rsidP="004C2FD0">
            <w:pPr>
              <w:spacing w:after="135"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lastRenderedPageBreak/>
              <w:t>215</w:t>
            </w:r>
          </w:p>
        </w:tc>
      </w:tr>
      <w:tr w:rsidR="004C2FD0" w:rsidRPr="002D1EA2" w:rsidTr="004C2FD0">
        <w:tc>
          <w:tcPr>
            <w:tcW w:w="11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lastRenderedPageBreak/>
              <w:t>6</w:t>
            </w:r>
          </w:p>
        </w:tc>
        <w:tc>
          <w:tcPr>
            <w:tcW w:w="129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Сплата податку на нерухоме майно, відмінне від земельної ділянки,  грн.</w:t>
            </w:r>
          </w:p>
        </w:tc>
        <w:tc>
          <w:tcPr>
            <w:tcW w:w="4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30FB6" w:rsidP="001C2CD7">
            <w:pPr>
              <w:spacing w:after="135"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23 117 263,00</w:t>
            </w:r>
          </w:p>
        </w:tc>
      </w:tr>
      <w:tr w:rsidR="004C2FD0" w:rsidRPr="002D1EA2" w:rsidTr="004C2FD0">
        <w:tc>
          <w:tcPr>
            <w:tcW w:w="11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7</w:t>
            </w:r>
          </w:p>
        </w:tc>
        <w:tc>
          <w:tcPr>
            <w:tcW w:w="129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Сумарні витрати суб’єктів великого й середнього підприємництва, на виконання регулювання (вартість регулювання) /сума рядків 1 + 2 + 3 + 4 + 6/,  грн.</w:t>
            </w:r>
          </w:p>
        </w:tc>
        <w:tc>
          <w:tcPr>
            <w:tcW w:w="4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0236E4" w:rsidP="004C2FD0">
            <w:pPr>
              <w:spacing w:after="135"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23 117 263,00</w:t>
            </w:r>
          </w:p>
        </w:tc>
      </w:tr>
      <w:tr w:rsidR="004C2FD0" w:rsidRPr="002D1EA2" w:rsidTr="004C2FD0">
        <w:tc>
          <w:tcPr>
            <w:tcW w:w="11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tc>
        <w:tc>
          <w:tcPr>
            <w:tcW w:w="1784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Оцінка вартості адміністративних процедур суб’єктів великого й середнього  підприємництва щодо виконання регулювання та звітування</w:t>
            </w:r>
          </w:p>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tc>
      </w:tr>
      <w:tr w:rsidR="004C2FD0" w:rsidRPr="002D1EA2" w:rsidTr="004C2FD0">
        <w:tc>
          <w:tcPr>
            <w:tcW w:w="11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8</w:t>
            </w:r>
          </w:p>
        </w:tc>
        <w:tc>
          <w:tcPr>
            <w:tcW w:w="129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ind w:left="34"/>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Процедури отримання первинної інформації про вимоги регулювання:</w:t>
            </w:r>
          </w:p>
        </w:tc>
        <w:tc>
          <w:tcPr>
            <w:tcW w:w="4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tc>
      </w:tr>
      <w:tr w:rsidR="004C2FD0" w:rsidRPr="002D1EA2" w:rsidTr="004C2FD0">
        <w:tc>
          <w:tcPr>
            <w:tcW w:w="11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tc>
        <w:tc>
          <w:tcPr>
            <w:tcW w:w="129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ind w:left="34"/>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i/>
                <w:iCs/>
                <w:color w:val="333333"/>
                <w:sz w:val="24"/>
                <w:szCs w:val="24"/>
                <w:lang w:eastAsia="uk-UA"/>
              </w:rPr>
              <w:t>Формула:</w:t>
            </w:r>
          </w:p>
          <w:p w:rsidR="004C2FD0" w:rsidRPr="002D1EA2" w:rsidRDefault="004C2FD0" w:rsidP="001C2CD7">
            <w:pPr>
              <w:spacing w:after="135" w:line="240" w:lineRule="auto"/>
              <w:ind w:left="34"/>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i/>
                <w:iCs/>
                <w:color w:val="333333"/>
                <w:sz w:val="24"/>
                <w:szCs w:val="24"/>
                <w:lang w:eastAsia="uk-UA"/>
              </w:rPr>
              <w:t>витрати часу на отримання інформації про регулювання Х вартість часу суб’єкта підприємництва (заробітна</w:t>
            </w:r>
            <w:r w:rsidR="001C2CD7">
              <w:rPr>
                <w:rFonts w:ascii="Times New Roman" w:eastAsia="Times New Roman" w:hAnsi="Times New Roman" w:cs="Times New Roman"/>
                <w:i/>
                <w:iCs/>
                <w:color w:val="333333"/>
                <w:sz w:val="24"/>
                <w:szCs w:val="24"/>
                <w:lang w:eastAsia="uk-UA"/>
              </w:rPr>
              <w:t xml:space="preserve"> </w:t>
            </w:r>
            <w:r w:rsidRPr="002D1EA2">
              <w:rPr>
                <w:rFonts w:ascii="Times New Roman" w:eastAsia="Times New Roman" w:hAnsi="Times New Roman" w:cs="Times New Roman"/>
                <w:i/>
                <w:iCs/>
                <w:color w:val="333333"/>
                <w:sz w:val="24"/>
                <w:szCs w:val="24"/>
                <w:lang w:eastAsia="uk-UA"/>
              </w:rPr>
              <w:t>плата) 0,1 год.**</w:t>
            </w:r>
            <w:r w:rsidRPr="002D1EA2">
              <w:rPr>
                <w:rFonts w:ascii="Times New Roman" w:eastAsia="Times New Roman" w:hAnsi="Times New Roman" w:cs="Times New Roman"/>
                <w:color w:val="333333"/>
                <w:sz w:val="24"/>
                <w:szCs w:val="24"/>
                <w:lang w:eastAsia="uk-UA"/>
              </w:rPr>
              <w:t>х</w:t>
            </w:r>
            <w:r w:rsidR="001C2CD7">
              <w:rPr>
                <w:rFonts w:ascii="Times New Roman" w:eastAsia="Times New Roman" w:hAnsi="Times New Roman" w:cs="Times New Roman"/>
                <w:i/>
                <w:iCs/>
                <w:color w:val="333333"/>
                <w:sz w:val="24"/>
                <w:szCs w:val="24"/>
                <w:lang w:eastAsia="uk-UA"/>
              </w:rPr>
              <w:t>28,31грн</w:t>
            </w:r>
            <w:r w:rsidRPr="002D1EA2">
              <w:rPr>
                <w:rFonts w:ascii="Times New Roman" w:eastAsia="Times New Roman" w:hAnsi="Times New Roman" w:cs="Times New Roman"/>
                <w:i/>
                <w:iCs/>
                <w:color w:val="333333"/>
                <w:sz w:val="24"/>
                <w:szCs w:val="24"/>
                <w:lang w:eastAsia="uk-UA"/>
              </w:rPr>
              <w:t>**(мінімальна зарплата2020 рік4723,00 грн, погодинна заробітна плата на 2020 рік – 28,31 грн)=2,83 грн.</w:t>
            </w:r>
          </w:p>
        </w:tc>
        <w:tc>
          <w:tcPr>
            <w:tcW w:w="4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2,83</w:t>
            </w:r>
          </w:p>
        </w:tc>
      </w:tr>
      <w:tr w:rsidR="004C2FD0" w:rsidRPr="002D1EA2" w:rsidTr="004C2FD0">
        <w:tc>
          <w:tcPr>
            <w:tcW w:w="11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9</w:t>
            </w:r>
          </w:p>
        </w:tc>
        <w:tc>
          <w:tcPr>
            <w:tcW w:w="129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1C2CD7">
            <w:pPr>
              <w:spacing w:after="135" w:line="240" w:lineRule="auto"/>
              <w:ind w:left="34"/>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Процедура організації виконання вимог регулювання </w:t>
            </w:r>
          </w:p>
        </w:tc>
        <w:tc>
          <w:tcPr>
            <w:tcW w:w="4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1C2CD7">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Цей податок не є новим та не передбачає витрат на організацію виконання вимог регулювання</w:t>
            </w:r>
          </w:p>
        </w:tc>
      </w:tr>
      <w:tr w:rsidR="004C2FD0" w:rsidRPr="002D1EA2" w:rsidTr="004C2FD0">
        <w:tc>
          <w:tcPr>
            <w:tcW w:w="11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10</w:t>
            </w:r>
          </w:p>
        </w:tc>
        <w:tc>
          <w:tcPr>
            <w:tcW w:w="129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Витрати на оборотні активи (матеріали, канцелярські товари тощо), грн.</w:t>
            </w:r>
          </w:p>
        </w:tc>
        <w:tc>
          <w:tcPr>
            <w:tcW w:w="4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Податок не є новим, додаткових витрат не передбачено</w:t>
            </w:r>
          </w:p>
        </w:tc>
      </w:tr>
      <w:tr w:rsidR="004C2FD0" w:rsidRPr="002D1EA2" w:rsidTr="004C2FD0">
        <w:tc>
          <w:tcPr>
            <w:tcW w:w="11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11</w:t>
            </w:r>
          </w:p>
        </w:tc>
        <w:tc>
          <w:tcPr>
            <w:tcW w:w="129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1C2CD7">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Процедура офіційного подання юридичними особами декларації зі сплати податку контролюючому органу:- </w:t>
            </w:r>
            <w:r w:rsidRPr="002D1EA2">
              <w:rPr>
                <w:rFonts w:ascii="Times New Roman" w:eastAsia="Times New Roman" w:hAnsi="Times New Roman" w:cs="Times New Roman"/>
                <w:i/>
                <w:iCs/>
                <w:color w:val="333333"/>
                <w:sz w:val="24"/>
                <w:szCs w:val="24"/>
                <w:lang w:eastAsia="uk-UA"/>
              </w:rPr>
              <w:t>витрати часу з підготовки та подання декларації = 0,2 год.* х 28,31грн</w:t>
            </w:r>
            <w:r w:rsidRPr="002D1EA2">
              <w:rPr>
                <w:rFonts w:ascii="Times New Roman" w:eastAsia="Times New Roman" w:hAnsi="Times New Roman" w:cs="Times New Roman"/>
                <w:color w:val="333333"/>
                <w:sz w:val="24"/>
                <w:szCs w:val="24"/>
                <w:lang w:eastAsia="uk-UA"/>
              </w:rPr>
              <w:t>** </w:t>
            </w:r>
            <w:r w:rsidRPr="002D1EA2">
              <w:rPr>
                <w:rFonts w:ascii="Times New Roman" w:eastAsia="Times New Roman" w:hAnsi="Times New Roman" w:cs="Times New Roman"/>
                <w:i/>
                <w:iCs/>
                <w:color w:val="333333"/>
                <w:sz w:val="24"/>
                <w:szCs w:val="24"/>
                <w:lang w:eastAsia="uk-UA"/>
              </w:rPr>
              <w:t>(мінімальна зарплата 4723,00 грн, погодинна заробітна плата – 28,31 грн) = 5,66 грн.</w:t>
            </w:r>
          </w:p>
        </w:tc>
        <w:tc>
          <w:tcPr>
            <w:tcW w:w="4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5,66</w:t>
            </w:r>
          </w:p>
        </w:tc>
      </w:tr>
      <w:tr w:rsidR="004C2FD0" w:rsidRPr="002D1EA2" w:rsidTr="004C2FD0">
        <w:tc>
          <w:tcPr>
            <w:tcW w:w="11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12</w:t>
            </w:r>
          </w:p>
        </w:tc>
        <w:tc>
          <w:tcPr>
            <w:tcW w:w="129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Інші процедури</w:t>
            </w:r>
          </w:p>
        </w:tc>
        <w:tc>
          <w:tcPr>
            <w:tcW w:w="4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Не передбачено</w:t>
            </w:r>
          </w:p>
        </w:tc>
      </w:tr>
      <w:tr w:rsidR="004C2FD0" w:rsidRPr="002D1EA2" w:rsidTr="004C2FD0">
        <w:tc>
          <w:tcPr>
            <w:tcW w:w="11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13</w:t>
            </w:r>
          </w:p>
        </w:tc>
        <w:tc>
          <w:tcPr>
            <w:tcW w:w="129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РАЗОМ (сума рядків: 8 + 9 + 10 + 11 + 12 ), грн.</w:t>
            </w:r>
          </w:p>
        </w:tc>
        <w:tc>
          <w:tcPr>
            <w:tcW w:w="4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8,49</w:t>
            </w:r>
          </w:p>
        </w:tc>
      </w:tr>
      <w:tr w:rsidR="004C2FD0" w:rsidRPr="002D1EA2" w:rsidTr="004C2FD0">
        <w:tc>
          <w:tcPr>
            <w:tcW w:w="11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14</w:t>
            </w:r>
          </w:p>
        </w:tc>
        <w:tc>
          <w:tcPr>
            <w:tcW w:w="129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Кількість суб’єктів господарювання великого й середнього підприємництва, на які буде поширено регулювання, одиниць</w:t>
            </w:r>
          </w:p>
        </w:tc>
        <w:tc>
          <w:tcPr>
            <w:tcW w:w="4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0236E4" w:rsidP="004C2FD0">
            <w:pPr>
              <w:spacing w:after="135"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215</w:t>
            </w:r>
          </w:p>
        </w:tc>
      </w:tr>
      <w:tr w:rsidR="004C2FD0" w:rsidRPr="002D1EA2" w:rsidTr="004C2FD0">
        <w:tc>
          <w:tcPr>
            <w:tcW w:w="11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15</w:t>
            </w:r>
          </w:p>
        </w:tc>
        <w:tc>
          <w:tcPr>
            <w:tcW w:w="129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Сумарні витрати суб’єктів великого й середнього підприємництва на виконання регулювання (вартість регулювання) (рядок 13 х рядок 14), грн.</w:t>
            </w:r>
          </w:p>
        </w:tc>
        <w:tc>
          <w:tcPr>
            <w:tcW w:w="4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0236E4" w:rsidP="004C2FD0">
            <w:pPr>
              <w:spacing w:after="135"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1825,35</w:t>
            </w:r>
          </w:p>
        </w:tc>
      </w:tr>
      <w:tr w:rsidR="004C2FD0" w:rsidRPr="002D1EA2" w:rsidTr="004C2FD0">
        <w:tc>
          <w:tcPr>
            <w:tcW w:w="11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16</w:t>
            </w:r>
          </w:p>
        </w:tc>
        <w:tc>
          <w:tcPr>
            <w:tcW w:w="129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РАЗОМ (сума рядків: 7 + 15), грн.</w:t>
            </w:r>
          </w:p>
        </w:tc>
        <w:tc>
          <w:tcPr>
            <w:tcW w:w="4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0236E4" w:rsidP="004C2FD0">
            <w:pPr>
              <w:spacing w:after="135"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b/>
                <w:bCs/>
                <w:i/>
                <w:iCs/>
                <w:color w:val="333333"/>
                <w:sz w:val="24"/>
                <w:szCs w:val="24"/>
                <w:lang w:eastAsia="uk-UA"/>
              </w:rPr>
              <w:t>23 119 088,35</w:t>
            </w:r>
          </w:p>
        </w:tc>
      </w:tr>
    </w:tbl>
    <w:p w:rsidR="004C2FD0" w:rsidRPr="002D1EA2" w:rsidRDefault="004C2FD0" w:rsidP="004C2FD0">
      <w:pPr>
        <w:shd w:val="clear" w:color="auto" w:fill="FFFFFF"/>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p w:rsidR="004C2FD0" w:rsidRPr="002D1EA2" w:rsidRDefault="004C2FD0" w:rsidP="00AA66A5">
      <w:pPr>
        <w:shd w:val="clear" w:color="auto" w:fill="FFFFFF"/>
        <w:spacing w:after="135" w:line="240" w:lineRule="auto"/>
        <w:jc w:val="both"/>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i/>
          <w:iCs/>
          <w:color w:val="333333"/>
          <w:sz w:val="24"/>
          <w:szCs w:val="24"/>
          <w:lang w:eastAsia="uk-UA"/>
        </w:rPr>
        <w:t>*Відповідно до пунктів 1, 3, 6, карти 11 міжгалузевих нормативів чисельності працівників бухгалтерського обліку (Наказ Міністерства праці і соціальної політики України від 26 вересня 2003 року №269 «Міжгалузеві нормативи чисельності працівників бухгалтерського обліку»).</w:t>
      </w:r>
    </w:p>
    <w:p w:rsidR="004C2FD0" w:rsidRPr="002D1EA2" w:rsidRDefault="004C2FD0" w:rsidP="00AA66A5">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i/>
          <w:iCs/>
          <w:color w:val="333333"/>
          <w:sz w:val="24"/>
          <w:szCs w:val="24"/>
          <w:lang w:eastAsia="uk-UA"/>
        </w:rPr>
        <w:lastRenderedPageBreak/>
        <w:t>**Для розрахунку витрат використовується мінімальний розмір заробітної плати</w:t>
      </w:r>
      <w:r w:rsidR="00AA66A5">
        <w:rPr>
          <w:rFonts w:ascii="Times New Roman" w:eastAsia="Times New Roman" w:hAnsi="Times New Roman" w:cs="Times New Roman"/>
          <w:i/>
          <w:iCs/>
          <w:color w:val="333333"/>
          <w:sz w:val="24"/>
          <w:szCs w:val="24"/>
          <w:lang w:eastAsia="uk-UA"/>
        </w:rPr>
        <w:t xml:space="preserve"> </w:t>
      </w:r>
      <w:r w:rsidRPr="002D1EA2">
        <w:rPr>
          <w:rFonts w:ascii="Times New Roman" w:eastAsia="Times New Roman" w:hAnsi="Times New Roman" w:cs="Times New Roman"/>
          <w:i/>
          <w:iCs/>
          <w:color w:val="333333"/>
          <w:sz w:val="24"/>
          <w:szCs w:val="24"/>
          <w:lang w:eastAsia="uk-UA"/>
        </w:rPr>
        <w:t>відповідно до ст. 8 Закону України «Про Державний бюджет України на 2020 рік» - мінімальна заробітна плата у 2020 році: у місячному розмірі:  – 4723,00 грн,</w:t>
      </w:r>
      <w:r w:rsidR="00AA66A5" w:rsidRPr="002D1EA2">
        <w:rPr>
          <w:rFonts w:ascii="Times New Roman" w:eastAsia="Times New Roman" w:hAnsi="Times New Roman" w:cs="Times New Roman"/>
          <w:i/>
          <w:iCs/>
          <w:color w:val="333333"/>
          <w:sz w:val="24"/>
          <w:szCs w:val="24"/>
          <w:lang w:eastAsia="uk-UA"/>
        </w:rPr>
        <w:t xml:space="preserve"> </w:t>
      </w:r>
      <w:r w:rsidRPr="002D1EA2">
        <w:rPr>
          <w:rFonts w:ascii="Times New Roman" w:eastAsia="Times New Roman" w:hAnsi="Times New Roman" w:cs="Times New Roman"/>
          <w:i/>
          <w:iCs/>
          <w:color w:val="333333"/>
          <w:sz w:val="24"/>
          <w:szCs w:val="24"/>
          <w:lang w:eastAsia="uk-UA"/>
        </w:rPr>
        <w:t>у погодинному розмірі – 28,31 грн.</w:t>
      </w:r>
    </w:p>
    <w:p w:rsidR="004C2FD0" w:rsidRPr="002D1EA2" w:rsidRDefault="004C2FD0" w:rsidP="00AA66A5">
      <w:pPr>
        <w:shd w:val="clear" w:color="auto" w:fill="FFFFFF"/>
        <w:spacing w:after="0" w:line="240" w:lineRule="auto"/>
        <w:ind w:firstLine="708"/>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Податок не є новим, суб’єкти господарювання ознайомленні з вимогами Кодексу та сплачують податок вже не один рік. Тому витрати часу на виконання вимог регулювання становлять 0,3 год.</w:t>
      </w:r>
    </w:p>
    <w:p w:rsidR="004C2FD0" w:rsidRPr="002D1EA2" w:rsidRDefault="004C2FD0" w:rsidP="004C2FD0">
      <w:pPr>
        <w:shd w:val="clear" w:color="auto" w:fill="FFFFFF"/>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p w:rsidR="004C2FD0" w:rsidRPr="002D1EA2" w:rsidRDefault="004C2FD0" w:rsidP="00AA66A5">
      <w:pPr>
        <w:shd w:val="clear" w:color="auto" w:fill="FFFFFF"/>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Розрахунок відповідних витрат на одного суб’єкта господарювання</w:t>
      </w:r>
    </w:p>
    <w:p w:rsidR="004C2FD0" w:rsidRPr="002D1EA2" w:rsidRDefault="004C2FD0" w:rsidP="004C2FD0">
      <w:pPr>
        <w:shd w:val="clear" w:color="auto" w:fill="FFFFFF"/>
        <w:spacing w:after="135" w:line="240" w:lineRule="auto"/>
        <w:jc w:val="right"/>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i/>
          <w:iCs/>
          <w:color w:val="333333"/>
          <w:sz w:val="24"/>
          <w:szCs w:val="24"/>
          <w:lang w:eastAsia="uk-UA"/>
        </w:rPr>
        <w:t>Таблиця 2</w:t>
      </w:r>
    </w:p>
    <w:tbl>
      <w:tblPr>
        <w:tblW w:w="485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214"/>
        <w:gridCol w:w="5151"/>
      </w:tblGrid>
      <w:tr w:rsidR="004C2FD0" w:rsidRPr="002D1EA2" w:rsidTr="004C2FD0">
        <w:tc>
          <w:tcPr>
            <w:tcW w:w="8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Вид витрат</w:t>
            </w:r>
          </w:p>
        </w:tc>
        <w:tc>
          <w:tcPr>
            <w:tcW w:w="10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2021  рік</w:t>
            </w:r>
          </w:p>
        </w:tc>
      </w:tr>
      <w:tr w:rsidR="004C2FD0" w:rsidRPr="002D1EA2" w:rsidTr="004C2FD0">
        <w:tc>
          <w:tcPr>
            <w:tcW w:w="8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Витрати на придбання основних фондів, обладнання та приладів, сервісне обслуговування, навчання/ підвищення кваліфікації персоналу тощо</w:t>
            </w:r>
          </w:p>
        </w:tc>
        <w:tc>
          <w:tcPr>
            <w:tcW w:w="10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AA66A5">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Цей податок не є новим та не передбачає витрат на придбання основних фондів, обладнання та приладів, сервісне обслуговування, навчання/підвищення кваліфікації персоналу тощо</w:t>
            </w:r>
          </w:p>
        </w:tc>
      </w:tr>
    </w:tbl>
    <w:p w:rsidR="004C2FD0" w:rsidRPr="002D1EA2" w:rsidRDefault="004C2FD0" w:rsidP="004C2FD0">
      <w:pPr>
        <w:shd w:val="clear" w:color="auto" w:fill="FFFFFF"/>
        <w:spacing w:after="135" w:line="240" w:lineRule="auto"/>
        <w:jc w:val="right"/>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p w:rsidR="004C2FD0" w:rsidRPr="002D1EA2" w:rsidRDefault="004C2FD0" w:rsidP="004C2FD0">
      <w:pPr>
        <w:shd w:val="clear" w:color="auto" w:fill="FFFFFF"/>
        <w:spacing w:after="135" w:line="240" w:lineRule="auto"/>
        <w:jc w:val="right"/>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i/>
          <w:iCs/>
          <w:color w:val="333333"/>
          <w:sz w:val="24"/>
          <w:szCs w:val="24"/>
          <w:lang w:eastAsia="uk-UA"/>
        </w:rPr>
        <w:t>Таблиця 3</w:t>
      </w:r>
    </w:p>
    <w:tbl>
      <w:tblPr>
        <w:tblW w:w="485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001"/>
        <w:gridCol w:w="2013"/>
        <w:gridCol w:w="2036"/>
        <w:gridCol w:w="1315"/>
      </w:tblGrid>
      <w:tr w:rsidR="004C2FD0" w:rsidRPr="002D1EA2" w:rsidTr="004C2FD0">
        <w:tc>
          <w:tcPr>
            <w:tcW w:w="8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Вид витрат</w:t>
            </w:r>
          </w:p>
        </w:tc>
        <w:tc>
          <w:tcPr>
            <w:tcW w:w="3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Витрати на проходження відповідних процедур (витрати часу, на експертизи тощо)</w:t>
            </w:r>
          </w:p>
        </w:tc>
        <w:tc>
          <w:tcPr>
            <w:tcW w:w="3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Витрати без-посередньо на отримання дозволів, ліцензій, сертифікатів, страхових полісів</w:t>
            </w:r>
          </w:p>
        </w:tc>
        <w:tc>
          <w:tcPr>
            <w:tcW w:w="26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Разом на 2021 рік</w:t>
            </w:r>
          </w:p>
        </w:tc>
      </w:tr>
      <w:tr w:rsidR="004C2FD0" w:rsidRPr="002D1EA2" w:rsidTr="004C2FD0">
        <w:tc>
          <w:tcPr>
            <w:tcW w:w="8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w:t>
            </w:r>
          </w:p>
        </w:tc>
        <w:tc>
          <w:tcPr>
            <w:tcW w:w="3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Податок не є новим, додаткових витрат не передбачено</w:t>
            </w:r>
          </w:p>
        </w:tc>
        <w:tc>
          <w:tcPr>
            <w:tcW w:w="3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Податок не є новим, додаткових витрат не передбачено</w:t>
            </w:r>
          </w:p>
        </w:tc>
        <w:tc>
          <w:tcPr>
            <w:tcW w:w="26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xml:space="preserve">Податок не є новим, </w:t>
            </w:r>
            <w:proofErr w:type="spellStart"/>
            <w:r w:rsidRPr="002D1EA2">
              <w:rPr>
                <w:rFonts w:ascii="Times New Roman" w:eastAsia="Times New Roman" w:hAnsi="Times New Roman" w:cs="Times New Roman"/>
                <w:color w:val="333333"/>
                <w:sz w:val="24"/>
                <w:szCs w:val="24"/>
                <w:lang w:eastAsia="uk-UA"/>
              </w:rPr>
              <w:t>додатко-вих</w:t>
            </w:r>
            <w:proofErr w:type="spellEnd"/>
            <w:r w:rsidRPr="002D1EA2">
              <w:rPr>
                <w:rFonts w:ascii="Times New Roman" w:eastAsia="Times New Roman" w:hAnsi="Times New Roman" w:cs="Times New Roman"/>
                <w:color w:val="333333"/>
                <w:sz w:val="24"/>
                <w:szCs w:val="24"/>
                <w:lang w:eastAsia="uk-UA"/>
              </w:rPr>
              <w:t xml:space="preserve"> витрат не </w:t>
            </w:r>
            <w:proofErr w:type="spellStart"/>
            <w:r w:rsidRPr="002D1EA2">
              <w:rPr>
                <w:rFonts w:ascii="Times New Roman" w:eastAsia="Times New Roman" w:hAnsi="Times New Roman" w:cs="Times New Roman"/>
                <w:color w:val="333333"/>
                <w:sz w:val="24"/>
                <w:szCs w:val="24"/>
                <w:lang w:eastAsia="uk-UA"/>
              </w:rPr>
              <w:t>передба-чено</w:t>
            </w:r>
            <w:proofErr w:type="spellEnd"/>
          </w:p>
        </w:tc>
      </w:tr>
    </w:tbl>
    <w:p w:rsidR="004C2FD0" w:rsidRPr="002D1EA2" w:rsidRDefault="004C2FD0" w:rsidP="004C2FD0">
      <w:pPr>
        <w:shd w:val="clear" w:color="auto" w:fill="FFFFFF"/>
        <w:spacing w:after="135" w:line="240" w:lineRule="auto"/>
        <w:jc w:val="right"/>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p w:rsidR="004C2FD0" w:rsidRPr="002D1EA2" w:rsidRDefault="004C2FD0" w:rsidP="004C2FD0">
      <w:pPr>
        <w:shd w:val="clear" w:color="auto" w:fill="FFFFFF"/>
        <w:spacing w:after="135" w:line="240" w:lineRule="auto"/>
        <w:jc w:val="right"/>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i/>
          <w:iCs/>
          <w:color w:val="333333"/>
          <w:sz w:val="24"/>
          <w:szCs w:val="24"/>
          <w:lang w:eastAsia="uk-UA"/>
        </w:rPr>
        <w:t>Таблиця 4</w:t>
      </w:r>
    </w:p>
    <w:tbl>
      <w:tblPr>
        <w:tblW w:w="485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279"/>
        <w:gridCol w:w="4086"/>
      </w:tblGrid>
      <w:tr w:rsidR="004C2FD0" w:rsidRPr="002D1EA2" w:rsidTr="004C2FD0">
        <w:tc>
          <w:tcPr>
            <w:tcW w:w="106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Вид витрат</w:t>
            </w:r>
          </w:p>
        </w:tc>
        <w:tc>
          <w:tcPr>
            <w:tcW w:w="7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На 2021 рік</w:t>
            </w:r>
          </w:p>
        </w:tc>
      </w:tr>
      <w:tr w:rsidR="004C2FD0" w:rsidRPr="002D1EA2" w:rsidTr="004C2FD0">
        <w:tc>
          <w:tcPr>
            <w:tcW w:w="106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Витрати на оборотні активи (матеріали, канцелярські товари тощо)</w:t>
            </w:r>
          </w:p>
        </w:tc>
        <w:tc>
          <w:tcPr>
            <w:tcW w:w="7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Додаткових витрат не передбачено</w:t>
            </w:r>
          </w:p>
        </w:tc>
      </w:tr>
    </w:tbl>
    <w:p w:rsidR="004C2FD0" w:rsidRPr="002D1EA2" w:rsidRDefault="004C2FD0" w:rsidP="004C2FD0">
      <w:pPr>
        <w:shd w:val="clear" w:color="auto" w:fill="FFFFFF"/>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p w:rsidR="004C2FD0" w:rsidRPr="002D1EA2" w:rsidRDefault="004C2FD0" w:rsidP="004C2FD0">
      <w:pPr>
        <w:shd w:val="clear" w:color="auto" w:fill="FFFFFF"/>
        <w:spacing w:after="135" w:line="240" w:lineRule="auto"/>
        <w:jc w:val="right"/>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i/>
          <w:iCs/>
          <w:color w:val="333333"/>
          <w:sz w:val="24"/>
          <w:szCs w:val="24"/>
          <w:lang w:eastAsia="uk-UA"/>
        </w:rPr>
        <w:t>Таблиця 5</w:t>
      </w:r>
    </w:p>
    <w:tbl>
      <w:tblPr>
        <w:tblW w:w="485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680"/>
        <w:gridCol w:w="4685"/>
      </w:tblGrid>
      <w:tr w:rsidR="004C2FD0" w:rsidRPr="002D1EA2" w:rsidTr="004C2FD0">
        <w:tc>
          <w:tcPr>
            <w:tcW w:w="9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Вид витрат</w:t>
            </w:r>
          </w:p>
        </w:tc>
        <w:tc>
          <w:tcPr>
            <w:tcW w:w="9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Витрати на оплату праці додатково найманого персоналу (за рік)</w:t>
            </w:r>
          </w:p>
        </w:tc>
      </w:tr>
      <w:tr w:rsidR="004C2FD0" w:rsidRPr="002D1EA2" w:rsidTr="004C2FD0">
        <w:trPr>
          <w:trHeight w:val="300"/>
        </w:trPr>
        <w:tc>
          <w:tcPr>
            <w:tcW w:w="9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Витрати, пов’язані з наймом додаткового персоналу</w:t>
            </w:r>
          </w:p>
        </w:tc>
        <w:tc>
          <w:tcPr>
            <w:tcW w:w="9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Додаткових витрат не передбачено</w:t>
            </w:r>
          </w:p>
        </w:tc>
      </w:tr>
    </w:tbl>
    <w:p w:rsidR="004C2FD0" w:rsidRPr="002D1EA2" w:rsidRDefault="004C2FD0" w:rsidP="004C2FD0">
      <w:pPr>
        <w:shd w:val="clear" w:color="auto" w:fill="FFFFFF"/>
        <w:spacing w:after="135" w:line="240" w:lineRule="auto"/>
        <w:jc w:val="right"/>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p w:rsidR="004C2FD0" w:rsidRPr="002D1EA2" w:rsidRDefault="004C2FD0" w:rsidP="004C2FD0">
      <w:pPr>
        <w:shd w:val="clear" w:color="auto" w:fill="FFFFFF"/>
        <w:spacing w:after="135" w:line="240" w:lineRule="auto"/>
        <w:jc w:val="right"/>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i/>
          <w:iCs/>
          <w:color w:val="333333"/>
          <w:sz w:val="24"/>
          <w:szCs w:val="24"/>
          <w:lang w:eastAsia="uk-UA"/>
        </w:rPr>
        <w:lastRenderedPageBreak/>
        <w:t>Таблиця 6</w:t>
      </w:r>
    </w:p>
    <w:tbl>
      <w:tblPr>
        <w:tblW w:w="485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389"/>
        <w:gridCol w:w="1925"/>
        <w:gridCol w:w="1855"/>
        <w:gridCol w:w="1196"/>
      </w:tblGrid>
      <w:tr w:rsidR="004C2FD0" w:rsidRPr="002D1EA2" w:rsidTr="004C2FD0">
        <w:tc>
          <w:tcPr>
            <w:tcW w:w="9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Вид витрат</w:t>
            </w:r>
          </w:p>
        </w:tc>
        <w:tc>
          <w:tcPr>
            <w:tcW w:w="3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 xml:space="preserve">Витрати часу на </w:t>
            </w:r>
            <w:proofErr w:type="spellStart"/>
            <w:r w:rsidRPr="002D1EA2">
              <w:rPr>
                <w:rFonts w:ascii="Times New Roman" w:eastAsia="Times New Roman" w:hAnsi="Times New Roman" w:cs="Times New Roman"/>
                <w:b/>
                <w:bCs/>
                <w:i/>
                <w:iCs/>
                <w:color w:val="333333"/>
                <w:sz w:val="24"/>
                <w:szCs w:val="24"/>
                <w:lang w:eastAsia="uk-UA"/>
              </w:rPr>
              <w:t>ознайом-лення</w:t>
            </w:r>
            <w:proofErr w:type="spellEnd"/>
            <w:r w:rsidRPr="002D1EA2">
              <w:rPr>
                <w:rFonts w:ascii="Times New Roman" w:eastAsia="Times New Roman" w:hAnsi="Times New Roman" w:cs="Times New Roman"/>
                <w:b/>
                <w:bCs/>
                <w:i/>
                <w:iCs/>
                <w:color w:val="333333"/>
                <w:sz w:val="24"/>
                <w:szCs w:val="24"/>
                <w:lang w:eastAsia="uk-UA"/>
              </w:rPr>
              <w:t xml:space="preserve"> з </w:t>
            </w:r>
            <w:proofErr w:type="spellStart"/>
            <w:r w:rsidRPr="002D1EA2">
              <w:rPr>
                <w:rFonts w:ascii="Times New Roman" w:eastAsia="Times New Roman" w:hAnsi="Times New Roman" w:cs="Times New Roman"/>
                <w:b/>
                <w:bCs/>
                <w:i/>
                <w:iCs/>
                <w:color w:val="333333"/>
                <w:sz w:val="24"/>
                <w:szCs w:val="24"/>
                <w:lang w:eastAsia="uk-UA"/>
              </w:rPr>
              <w:t>вимо-гами</w:t>
            </w:r>
            <w:proofErr w:type="spellEnd"/>
            <w:r w:rsidRPr="002D1EA2">
              <w:rPr>
                <w:rFonts w:ascii="Times New Roman" w:eastAsia="Times New Roman" w:hAnsi="Times New Roman" w:cs="Times New Roman"/>
                <w:b/>
                <w:bCs/>
                <w:i/>
                <w:iCs/>
                <w:color w:val="333333"/>
                <w:sz w:val="24"/>
                <w:szCs w:val="24"/>
                <w:lang w:eastAsia="uk-UA"/>
              </w:rPr>
              <w:t xml:space="preserve"> </w:t>
            </w:r>
            <w:proofErr w:type="spellStart"/>
            <w:r w:rsidRPr="002D1EA2">
              <w:rPr>
                <w:rFonts w:ascii="Times New Roman" w:eastAsia="Times New Roman" w:hAnsi="Times New Roman" w:cs="Times New Roman"/>
                <w:b/>
                <w:bCs/>
                <w:i/>
                <w:iCs/>
                <w:color w:val="333333"/>
                <w:sz w:val="24"/>
                <w:szCs w:val="24"/>
                <w:lang w:eastAsia="uk-UA"/>
              </w:rPr>
              <w:t>держав-ного</w:t>
            </w:r>
            <w:proofErr w:type="spellEnd"/>
            <w:r w:rsidRPr="002D1EA2">
              <w:rPr>
                <w:rFonts w:ascii="Times New Roman" w:eastAsia="Times New Roman" w:hAnsi="Times New Roman" w:cs="Times New Roman"/>
                <w:b/>
                <w:bCs/>
                <w:i/>
                <w:iCs/>
                <w:color w:val="333333"/>
                <w:sz w:val="24"/>
                <w:szCs w:val="24"/>
                <w:lang w:eastAsia="uk-UA"/>
              </w:rPr>
              <w:t xml:space="preserve"> </w:t>
            </w:r>
            <w:proofErr w:type="spellStart"/>
            <w:r w:rsidRPr="002D1EA2">
              <w:rPr>
                <w:rFonts w:ascii="Times New Roman" w:eastAsia="Times New Roman" w:hAnsi="Times New Roman" w:cs="Times New Roman"/>
                <w:b/>
                <w:bCs/>
                <w:i/>
                <w:iCs/>
                <w:color w:val="333333"/>
                <w:sz w:val="24"/>
                <w:szCs w:val="24"/>
                <w:lang w:eastAsia="uk-UA"/>
              </w:rPr>
              <w:t>регулю-вання</w:t>
            </w:r>
            <w:proofErr w:type="spellEnd"/>
            <w:r w:rsidRPr="002D1EA2">
              <w:rPr>
                <w:rFonts w:ascii="Times New Roman" w:eastAsia="Times New Roman" w:hAnsi="Times New Roman" w:cs="Times New Roman"/>
                <w:b/>
                <w:bCs/>
                <w:i/>
                <w:iCs/>
                <w:color w:val="333333"/>
                <w:sz w:val="24"/>
                <w:szCs w:val="24"/>
                <w:lang w:eastAsia="uk-UA"/>
              </w:rPr>
              <w:t>, год.</w:t>
            </w:r>
          </w:p>
        </w:tc>
        <w:tc>
          <w:tcPr>
            <w:tcW w:w="3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 xml:space="preserve">Витрати на оплату  часу на </w:t>
            </w:r>
            <w:proofErr w:type="spellStart"/>
            <w:r w:rsidRPr="002D1EA2">
              <w:rPr>
                <w:rFonts w:ascii="Times New Roman" w:eastAsia="Times New Roman" w:hAnsi="Times New Roman" w:cs="Times New Roman"/>
                <w:b/>
                <w:bCs/>
                <w:i/>
                <w:iCs/>
                <w:color w:val="333333"/>
                <w:sz w:val="24"/>
                <w:szCs w:val="24"/>
                <w:lang w:eastAsia="uk-UA"/>
              </w:rPr>
              <w:t>ознайом-лення</w:t>
            </w:r>
            <w:proofErr w:type="spellEnd"/>
            <w:r w:rsidRPr="002D1EA2">
              <w:rPr>
                <w:rFonts w:ascii="Times New Roman" w:eastAsia="Times New Roman" w:hAnsi="Times New Roman" w:cs="Times New Roman"/>
                <w:b/>
                <w:bCs/>
                <w:i/>
                <w:iCs/>
                <w:color w:val="333333"/>
                <w:sz w:val="24"/>
                <w:szCs w:val="24"/>
                <w:lang w:eastAsia="uk-UA"/>
              </w:rPr>
              <w:t xml:space="preserve"> з </w:t>
            </w:r>
            <w:proofErr w:type="spellStart"/>
            <w:r w:rsidRPr="002D1EA2">
              <w:rPr>
                <w:rFonts w:ascii="Times New Roman" w:eastAsia="Times New Roman" w:hAnsi="Times New Roman" w:cs="Times New Roman"/>
                <w:b/>
                <w:bCs/>
                <w:i/>
                <w:iCs/>
                <w:color w:val="333333"/>
                <w:sz w:val="24"/>
                <w:szCs w:val="24"/>
                <w:lang w:eastAsia="uk-UA"/>
              </w:rPr>
              <w:t>вимо-гами</w:t>
            </w:r>
            <w:proofErr w:type="spellEnd"/>
            <w:r w:rsidRPr="002D1EA2">
              <w:rPr>
                <w:rFonts w:ascii="Times New Roman" w:eastAsia="Times New Roman" w:hAnsi="Times New Roman" w:cs="Times New Roman"/>
                <w:b/>
                <w:bCs/>
                <w:i/>
                <w:iCs/>
                <w:color w:val="333333"/>
                <w:sz w:val="24"/>
                <w:szCs w:val="24"/>
                <w:lang w:eastAsia="uk-UA"/>
              </w:rPr>
              <w:t xml:space="preserve"> </w:t>
            </w:r>
            <w:proofErr w:type="spellStart"/>
            <w:r w:rsidRPr="002D1EA2">
              <w:rPr>
                <w:rFonts w:ascii="Times New Roman" w:eastAsia="Times New Roman" w:hAnsi="Times New Roman" w:cs="Times New Roman"/>
                <w:b/>
                <w:bCs/>
                <w:i/>
                <w:iCs/>
                <w:color w:val="333333"/>
                <w:sz w:val="24"/>
                <w:szCs w:val="24"/>
                <w:lang w:eastAsia="uk-UA"/>
              </w:rPr>
              <w:t>держав-ного</w:t>
            </w:r>
            <w:proofErr w:type="spellEnd"/>
            <w:r w:rsidRPr="002D1EA2">
              <w:rPr>
                <w:rFonts w:ascii="Times New Roman" w:eastAsia="Times New Roman" w:hAnsi="Times New Roman" w:cs="Times New Roman"/>
                <w:b/>
                <w:bCs/>
                <w:i/>
                <w:iCs/>
                <w:color w:val="333333"/>
                <w:sz w:val="24"/>
                <w:szCs w:val="24"/>
                <w:lang w:eastAsia="uk-UA"/>
              </w:rPr>
              <w:t xml:space="preserve"> </w:t>
            </w:r>
            <w:proofErr w:type="spellStart"/>
            <w:r w:rsidRPr="002D1EA2">
              <w:rPr>
                <w:rFonts w:ascii="Times New Roman" w:eastAsia="Times New Roman" w:hAnsi="Times New Roman" w:cs="Times New Roman"/>
                <w:b/>
                <w:bCs/>
                <w:i/>
                <w:iCs/>
                <w:color w:val="333333"/>
                <w:sz w:val="24"/>
                <w:szCs w:val="24"/>
                <w:lang w:eastAsia="uk-UA"/>
              </w:rPr>
              <w:t>регулю-вання</w:t>
            </w:r>
            <w:proofErr w:type="spellEnd"/>
            <w:r w:rsidRPr="002D1EA2">
              <w:rPr>
                <w:rFonts w:ascii="Times New Roman" w:eastAsia="Times New Roman" w:hAnsi="Times New Roman" w:cs="Times New Roman"/>
                <w:b/>
                <w:bCs/>
                <w:i/>
                <w:iCs/>
                <w:color w:val="333333"/>
                <w:sz w:val="24"/>
                <w:szCs w:val="24"/>
                <w:lang w:eastAsia="uk-UA"/>
              </w:rPr>
              <w:t>,  грн.</w:t>
            </w:r>
          </w:p>
        </w:tc>
        <w:tc>
          <w:tcPr>
            <w:tcW w:w="2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Разом на 2021  рік</w:t>
            </w:r>
          </w:p>
        </w:tc>
      </w:tr>
      <w:tr w:rsidR="004C2FD0" w:rsidRPr="002D1EA2" w:rsidTr="004C2FD0">
        <w:tc>
          <w:tcPr>
            <w:tcW w:w="9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1</w:t>
            </w:r>
          </w:p>
        </w:tc>
        <w:tc>
          <w:tcPr>
            <w:tcW w:w="3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2</w:t>
            </w:r>
          </w:p>
        </w:tc>
        <w:tc>
          <w:tcPr>
            <w:tcW w:w="3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3</w:t>
            </w:r>
          </w:p>
        </w:tc>
        <w:tc>
          <w:tcPr>
            <w:tcW w:w="2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4</w:t>
            </w:r>
          </w:p>
        </w:tc>
      </w:tr>
      <w:tr w:rsidR="004C2FD0" w:rsidRPr="002D1EA2" w:rsidTr="004C2FD0">
        <w:tc>
          <w:tcPr>
            <w:tcW w:w="9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Витрати, пов’язані з отриманням первинної інформац</w:t>
            </w:r>
            <w:r w:rsidR="0046296D">
              <w:rPr>
                <w:rFonts w:ascii="Times New Roman" w:eastAsia="Times New Roman" w:hAnsi="Times New Roman" w:cs="Times New Roman"/>
                <w:color w:val="333333"/>
                <w:sz w:val="24"/>
                <w:szCs w:val="24"/>
                <w:lang w:eastAsia="uk-UA"/>
              </w:rPr>
              <w:t xml:space="preserve">ії про вимоги регулювання*, </w:t>
            </w:r>
            <w:proofErr w:type="spellStart"/>
            <w:r w:rsidR="0046296D">
              <w:rPr>
                <w:rFonts w:ascii="Times New Roman" w:eastAsia="Times New Roman" w:hAnsi="Times New Roman" w:cs="Times New Roman"/>
                <w:color w:val="333333"/>
                <w:sz w:val="24"/>
                <w:szCs w:val="24"/>
                <w:lang w:eastAsia="uk-UA"/>
              </w:rPr>
              <w:t>грн</w:t>
            </w:r>
            <w:proofErr w:type="spellEnd"/>
            <w:r w:rsidRPr="002D1EA2">
              <w:rPr>
                <w:rFonts w:ascii="Times New Roman" w:eastAsia="Times New Roman" w:hAnsi="Times New Roman" w:cs="Times New Roman"/>
                <w:color w:val="333333"/>
                <w:sz w:val="24"/>
                <w:szCs w:val="24"/>
                <w:lang w:eastAsia="uk-UA"/>
              </w:rPr>
              <w:t>;</w:t>
            </w:r>
          </w:p>
        </w:tc>
        <w:tc>
          <w:tcPr>
            <w:tcW w:w="3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0,1</w:t>
            </w:r>
          </w:p>
        </w:tc>
        <w:tc>
          <w:tcPr>
            <w:tcW w:w="3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28,31</w:t>
            </w:r>
          </w:p>
        </w:tc>
        <w:tc>
          <w:tcPr>
            <w:tcW w:w="2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2,83</w:t>
            </w:r>
          </w:p>
        </w:tc>
      </w:tr>
      <w:tr w:rsidR="004C2FD0" w:rsidRPr="002D1EA2" w:rsidTr="004C2FD0">
        <w:tc>
          <w:tcPr>
            <w:tcW w:w="9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(4723,00грн** - мінімальна зарплата, 28,31 грн у погодинному розмірі);</w:t>
            </w:r>
          </w:p>
          <w:p w:rsidR="004C2FD0" w:rsidRPr="002D1EA2" w:rsidRDefault="0046296D" w:rsidP="004C2FD0">
            <w:pPr>
              <w:spacing w:after="135" w:line="240"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0,1 год. х  28,31 </w:t>
            </w:r>
            <w:proofErr w:type="spellStart"/>
            <w:r>
              <w:rPr>
                <w:rFonts w:ascii="Times New Roman" w:eastAsia="Times New Roman" w:hAnsi="Times New Roman" w:cs="Times New Roman"/>
                <w:color w:val="333333"/>
                <w:sz w:val="24"/>
                <w:szCs w:val="24"/>
                <w:lang w:eastAsia="uk-UA"/>
              </w:rPr>
              <w:t>грн</w:t>
            </w:r>
            <w:proofErr w:type="spellEnd"/>
            <w:r w:rsidR="004C2FD0" w:rsidRPr="002D1EA2">
              <w:rPr>
                <w:rFonts w:ascii="Times New Roman" w:eastAsia="Times New Roman" w:hAnsi="Times New Roman" w:cs="Times New Roman"/>
                <w:color w:val="333333"/>
                <w:sz w:val="24"/>
                <w:szCs w:val="24"/>
                <w:lang w:eastAsia="uk-UA"/>
              </w:rPr>
              <w:t xml:space="preserve"> =  2,83 грн.</w:t>
            </w:r>
          </w:p>
        </w:tc>
        <w:tc>
          <w:tcPr>
            <w:tcW w:w="3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tc>
        <w:tc>
          <w:tcPr>
            <w:tcW w:w="3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tc>
        <w:tc>
          <w:tcPr>
            <w:tcW w:w="2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tc>
      </w:tr>
    </w:tbl>
    <w:p w:rsidR="004C2FD0" w:rsidRPr="002D1EA2" w:rsidRDefault="004C2FD0" w:rsidP="004C2FD0">
      <w:pPr>
        <w:shd w:val="clear" w:color="auto" w:fill="FFFFFF"/>
        <w:spacing w:after="135" w:line="240" w:lineRule="auto"/>
        <w:jc w:val="right"/>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p w:rsidR="004C2FD0" w:rsidRPr="002D1EA2" w:rsidRDefault="004C2FD0" w:rsidP="004C2FD0">
      <w:pPr>
        <w:shd w:val="clear" w:color="auto" w:fill="FFFFFF"/>
        <w:spacing w:after="135" w:line="240" w:lineRule="auto"/>
        <w:jc w:val="right"/>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i/>
          <w:iCs/>
          <w:color w:val="333333"/>
          <w:sz w:val="24"/>
          <w:szCs w:val="24"/>
          <w:lang w:eastAsia="uk-UA"/>
        </w:rPr>
        <w:t>Таблиця 7</w:t>
      </w:r>
    </w:p>
    <w:tbl>
      <w:tblPr>
        <w:tblW w:w="485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443"/>
        <w:gridCol w:w="1904"/>
        <w:gridCol w:w="1835"/>
        <w:gridCol w:w="1183"/>
      </w:tblGrid>
      <w:tr w:rsidR="004C2FD0" w:rsidRPr="002D1EA2" w:rsidTr="004C2FD0">
        <w:tc>
          <w:tcPr>
            <w:tcW w:w="9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Вид витрат</w:t>
            </w:r>
          </w:p>
        </w:tc>
        <w:tc>
          <w:tcPr>
            <w:tcW w:w="3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 xml:space="preserve">Витрати часу на </w:t>
            </w:r>
            <w:proofErr w:type="spellStart"/>
            <w:r w:rsidRPr="002D1EA2">
              <w:rPr>
                <w:rFonts w:ascii="Times New Roman" w:eastAsia="Times New Roman" w:hAnsi="Times New Roman" w:cs="Times New Roman"/>
                <w:b/>
                <w:bCs/>
                <w:i/>
                <w:iCs/>
                <w:color w:val="333333"/>
                <w:sz w:val="24"/>
                <w:szCs w:val="24"/>
                <w:lang w:eastAsia="uk-UA"/>
              </w:rPr>
              <w:t>ознайом-лення</w:t>
            </w:r>
            <w:proofErr w:type="spellEnd"/>
            <w:r w:rsidRPr="002D1EA2">
              <w:rPr>
                <w:rFonts w:ascii="Times New Roman" w:eastAsia="Times New Roman" w:hAnsi="Times New Roman" w:cs="Times New Roman"/>
                <w:b/>
                <w:bCs/>
                <w:i/>
                <w:iCs/>
                <w:color w:val="333333"/>
                <w:sz w:val="24"/>
                <w:szCs w:val="24"/>
                <w:lang w:eastAsia="uk-UA"/>
              </w:rPr>
              <w:t xml:space="preserve"> з </w:t>
            </w:r>
            <w:proofErr w:type="spellStart"/>
            <w:r w:rsidRPr="002D1EA2">
              <w:rPr>
                <w:rFonts w:ascii="Times New Roman" w:eastAsia="Times New Roman" w:hAnsi="Times New Roman" w:cs="Times New Roman"/>
                <w:b/>
                <w:bCs/>
                <w:i/>
                <w:iCs/>
                <w:color w:val="333333"/>
                <w:sz w:val="24"/>
                <w:szCs w:val="24"/>
                <w:lang w:eastAsia="uk-UA"/>
              </w:rPr>
              <w:t>вимо-гами</w:t>
            </w:r>
            <w:proofErr w:type="spellEnd"/>
            <w:r w:rsidRPr="002D1EA2">
              <w:rPr>
                <w:rFonts w:ascii="Times New Roman" w:eastAsia="Times New Roman" w:hAnsi="Times New Roman" w:cs="Times New Roman"/>
                <w:b/>
                <w:bCs/>
                <w:i/>
                <w:iCs/>
                <w:color w:val="333333"/>
                <w:sz w:val="24"/>
                <w:szCs w:val="24"/>
                <w:lang w:eastAsia="uk-UA"/>
              </w:rPr>
              <w:t xml:space="preserve"> </w:t>
            </w:r>
            <w:proofErr w:type="spellStart"/>
            <w:r w:rsidRPr="002D1EA2">
              <w:rPr>
                <w:rFonts w:ascii="Times New Roman" w:eastAsia="Times New Roman" w:hAnsi="Times New Roman" w:cs="Times New Roman"/>
                <w:b/>
                <w:bCs/>
                <w:i/>
                <w:iCs/>
                <w:color w:val="333333"/>
                <w:sz w:val="24"/>
                <w:szCs w:val="24"/>
                <w:lang w:eastAsia="uk-UA"/>
              </w:rPr>
              <w:t>держав-ного</w:t>
            </w:r>
            <w:proofErr w:type="spellEnd"/>
            <w:r w:rsidRPr="002D1EA2">
              <w:rPr>
                <w:rFonts w:ascii="Times New Roman" w:eastAsia="Times New Roman" w:hAnsi="Times New Roman" w:cs="Times New Roman"/>
                <w:b/>
                <w:bCs/>
                <w:i/>
                <w:iCs/>
                <w:color w:val="333333"/>
                <w:sz w:val="24"/>
                <w:szCs w:val="24"/>
                <w:lang w:eastAsia="uk-UA"/>
              </w:rPr>
              <w:t xml:space="preserve"> </w:t>
            </w:r>
            <w:proofErr w:type="spellStart"/>
            <w:r w:rsidRPr="002D1EA2">
              <w:rPr>
                <w:rFonts w:ascii="Times New Roman" w:eastAsia="Times New Roman" w:hAnsi="Times New Roman" w:cs="Times New Roman"/>
                <w:b/>
                <w:bCs/>
                <w:i/>
                <w:iCs/>
                <w:color w:val="333333"/>
                <w:sz w:val="24"/>
                <w:szCs w:val="24"/>
                <w:lang w:eastAsia="uk-UA"/>
              </w:rPr>
              <w:t>регулю-вання</w:t>
            </w:r>
            <w:proofErr w:type="spellEnd"/>
            <w:r w:rsidRPr="002D1EA2">
              <w:rPr>
                <w:rFonts w:ascii="Times New Roman" w:eastAsia="Times New Roman" w:hAnsi="Times New Roman" w:cs="Times New Roman"/>
                <w:b/>
                <w:bCs/>
                <w:i/>
                <w:iCs/>
                <w:color w:val="333333"/>
                <w:sz w:val="24"/>
                <w:szCs w:val="24"/>
                <w:lang w:eastAsia="uk-UA"/>
              </w:rPr>
              <w:t>, год.</w:t>
            </w:r>
          </w:p>
        </w:tc>
        <w:tc>
          <w:tcPr>
            <w:tcW w:w="3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 xml:space="preserve">Витрати на оплату  часу за </w:t>
            </w:r>
            <w:proofErr w:type="spellStart"/>
            <w:r w:rsidRPr="002D1EA2">
              <w:rPr>
                <w:rFonts w:ascii="Times New Roman" w:eastAsia="Times New Roman" w:hAnsi="Times New Roman" w:cs="Times New Roman"/>
                <w:b/>
                <w:bCs/>
                <w:i/>
                <w:iCs/>
                <w:color w:val="333333"/>
                <w:sz w:val="24"/>
                <w:szCs w:val="24"/>
                <w:lang w:eastAsia="uk-UA"/>
              </w:rPr>
              <w:t>ознайом-лення</w:t>
            </w:r>
            <w:proofErr w:type="spellEnd"/>
            <w:r w:rsidRPr="002D1EA2">
              <w:rPr>
                <w:rFonts w:ascii="Times New Roman" w:eastAsia="Times New Roman" w:hAnsi="Times New Roman" w:cs="Times New Roman"/>
                <w:b/>
                <w:bCs/>
                <w:i/>
                <w:iCs/>
                <w:color w:val="333333"/>
                <w:sz w:val="24"/>
                <w:szCs w:val="24"/>
                <w:lang w:eastAsia="uk-UA"/>
              </w:rPr>
              <w:t xml:space="preserve"> з </w:t>
            </w:r>
            <w:proofErr w:type="spellStart"/>
            <w:r w:rsidRPr="002D1EA2">
              <w:rPr>
                <w:rFonts w:ascii="Times New Roman" w:eastAsia="Times New Roman" w:hAnsi="Times New Roman" w:cs="Times New Roman"/>
                <w:b/>
                <w:bCs/>
                <w:i/>
                <w:iCs/>
                <w:color w:val="333333"/>
                <w:sz w:val="24"/>
                <w:szCs w:val="24"/>
                <w:lang w:eastAsia="uk-UA"/>
              </w:rPr>
              <w:t>вимо-гами</w:t>
            </w:r>
            <w:proofErr w:type="spellEnd"/>
            <w:r w:rsidRPr="002D1EA2">
              <w:rPr>
                <w:rFonts w:ascii="Times New Roman" w:eastAsia="Times New Roman" w:hAnsi="Times New Roman" w:cs="Times New Roman"/>
                <w:b/>
                <w:bCs/>
                <w:i/>
                <w:iCs/>
                <w:color w:val="333333"/>
                <w:sz w:val="24"/>
                <w:szCs w:val="24"/>
                <w:lang w:eastAsia="uk-UA"/>
              </w:rPr>
              <w:t xml:space="preserve"> </w:t>
            </w:r>
            <w:proofErr w:type="spellStart"/>
            <w:r w:rsidRPr="002D1EA2">
              <w:rPr>
                <w:rFonts w:ascii="Times New Roman" w:eastAsia="Times New Roman" w:hAnsi="Times New Roman" w:cs="Times New Roman"/>
                <w:b/>
                <w:bCs/>
                <w:i/>
                <w:iCs/>
                <w:color w:val="333333"/>
                <w:sz w:val="24"/>
                <w:szCs w:val="24"/>
                <w:lang w:eastAsia="uk-UA"/>
              </w:rPr>
              <w:t>держав-ного</w:t>
            </w:r>
            <w:proofErr w:type="spellEnd"/>
            <w:r w:rsidRPr="002D1EA2">
              <w:rPr>
                <w:rFonts w:ascii="Times New Roman" w:eastAsia="Times New Roman" w:hAnsi="Times New Roman" w:cs="Times New Roman"/>
                <w:b/>
                <w:bCs/>
                <w:i/>
                <w:iCs/>
                <w:color w:val="333333"/>
                <w:sz w:val="24"/>
                <w:szCs w:val="24"/>
                <w:lang w:eastAsia="uk-UA"/>
              </w:rPr>
              <w:t xml:space="preserve"> </w:t>
            </w:r>
            <w:proofErr w:type="spellStart"/>
            <w:r w:rsidRPr="002D1EA2">
              <w:rPr>
                <w:rFonts w:ascii="Times New Roman" w:eastAsia="Times New Roman" w:hAnsi="Times New Roman" w:cs="Times New Roman"/>
                <w:b/>
                <w:bCs/>
                <w:i/>
                <w:iCs/>
                <w:color w:val="333333"/>
                <w:sz w:val="24"/>
                <w:szCs w:val="24"/>
                <w:lang w:eastAsia="uk-UA"/>
              </w:rPr>
              <w:t>регулю-вання</w:t>
            </w:r>
            <w:proofErr w:type="spellEnd"/>
            <w:r w:rsidRPr="002D1EA2">
              <w:rPr>
                <w:rFonts w:ascii="Times New Roman" w:eastAsia="Times New Roman" w:hAnsi="Times New Roman" w:cs="Times New Roman"/>
                <w:b/>
                <w:bCs/>
                <w:i/>
                <w:iCs/>
                <w:color w:val="333333"/>
                <w:sz w:val="24"/>
                <w:szCs w:val="24"/>
                <w:lang w:eastAsia="uk-UA"/>
              </w:rPr>
              <w:t>,  грн.</w:t>
            </w:r>
          </w:p>
        </w:tc>
        <w:tc>
          <w:tcPr>
            <w:tcW w:w="2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Разом на 2021  рік</w:t>
            </w:r>
          </w:p>
        </w:tc>
      </w:tr>
      <w:tr w:rsidR="004C2FD0" w:rsidRPr="002D1EA2" w:rsidTr="004C2FD0">
        <w:tc>
          <w:tcPr>
            <w:tcW w:w="9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Витрати, пов’язані з процедурою офіційного подання юридичними особами декларації зі сплати по</w:t>
            </w:r>
            <w:r w:rsidR="0046296D">
              <w:rPr>
                <w:rFonts w:ascii="Times New Roman" w:eastAsia="Times New Roman" w:hAnsi="Times New Roman" w:cs="Times New Roman"/>
                <w:color w:val="333333"/>
                <w:sz w:val="24"/>
                <w:szCs w:val="24"/>
                <w:lang w:eastAsia="uk-UA"/>
              </w:rPr>
              <w:t xml:space="preserve">датку контролюючому органу, </w:t>
            </w:r>
            <w:proofErr w:type="spellStart"/>
            <w:r w:rsidR="0046296D">
              <w:rPr>
                <w:rFonts w:ascii="Times New Roman" w:eastAsia="Times New Roman" w:hAnsi="Times New Roman" w:cs="Times New Roman"/>
                <w:color w:val="333333"/>
                <w:sz w:val="24"/>
                <w:szCs w:val="24"/>
                <w:lang w:eastAsia="uk-UA"/>
              </w:rPr>
              <w:t>грн</w:t>
            </w:r>
            <w:proofErr w:type="spellEnd"/>
            <w:r w:rsidRPr="002D1EA2">
              <w:rPr>
                <w:rFonts w:ascii="Times New Roman" w:eastAsia="Times New Roman" w:hAnsi="Times New Roman" w:cs="Times New Roman"/>
                <w:color w:val="333333"/>
                <w:sz w:val="24"/>
                <w:szCs w:val="24"/>
                <w:lang w:eastAsia="uk-UA"/>
              </w:rPr>
              <w:t>;*</w:t>
            </w:r>
          </w:p>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xml:space="preserve">(4723,00 грн** - мінімальна зарплата, 28,31 </w:t>
            </w:r>
            <w:proofErr w:type="spellStart"/>
            <w:r w:rsidRPr="002D1EA2">
              <w:rPr>
                <w:rFonts w:ascii="Times New Roman" w:eastAsia="Times New Roman" w:hAnsi="Times New Roman" w:cs="Times New Roman"/>
                <w:color w:val="333333"/>
                <w:sz w:val="24"/>
                <w:szCs w:val="24"/>
                <w:lang w:eastAsia="uk-UA"/>
              </w:rPr>
              <w:t>грн</w:t>
            </w:r>
            <w:proofErr w:type="spellEnd"/>
            <w:r w:rsidRPr="002D1EA2">
              <w:rPr>
                <w:rFonts w:ascii="Times New Roman" w:eastAsia="Times New Roman" w:hAnsi="Times New Roman" w:cs="Times New Roman"/>
                <w:color w:val="333333"/>
                <w:sz w:val="24"/>
                <w:szCs w:val="24"/>
                <w:lang w:eastAsia="uk-UA"/>
              </w:rPr>
              <w:t xml:space="preserve"> у погодинному розмірі);</w:t>
            </w:r>
          </w:p>
          <w:p w:rsidR="004C2FD0" w:rsidRPr="002D1EA2" w:rsidRDefault="004C2FD0" w:rsidP="00AA66A5">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0,2 год. х  28,31 грн =  5,66 грн.</w:t>
            </w:r>
          </w:p>
        </w:tc>
        <w:tc>
          <w:tcPr>
            <w:tcW w:w="3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0,2</w:t>
            </w:r>
          </w:p>
        </w:tc>
        <w:tc>
          <w:tcPr>
            <w:tcW w:w="3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28,31</w:t>
            </w:r>
          </w:p>
        </w:tc>
        <w:tc>
          <w:tcPr>
            <w:tcW w:w="2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5,66</w:t>
            </w:r>
          </w:p>
        </w:tc>
      </w:tr>
    </w:tbl>
    <w:p w:rsidR="004C2FD0" w:rsidRPr="002D1EA2" w:rsidRDefault="004C2FD0" w:rsidP="004C2FD0">
      <w:pPr>
        <w:shd w:val="clear" w:color="auto" w:fill="FFFFFF"/>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p w:rsidR="004C2FD0" w:rsidRPr="002D1EA2" w:rsidRDefault="004C2FD0" w:rsidP="000236E4">
      <w:pPr>
        <w:shd w:val="clear" w:color="auto" w:fill="FFFFFF"/>
        <w:spacing w:after="135" w:line="240" w:lineRule="auto"/>
        <w:jc w:val="both"/>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i/>
          <w:iCs/>
          <w:color w:val="333333"/>
          <w:sz w:val="24"/>
          <w:szCs w:val="24"/>
          <w:lang w:eastAsia="uk-UA"/>
        </w:rPr>
        <w:t>*Вартість витрат, пов’язаних з ознайомленням з вимогами державного регулювання, визначається шляхом множення фактичних витрат часу персоналу на заробітну плату спеціаліста відповідної кваліфікації.</w:t>
      </w:r>
    </w:p>
    <w:p w:rsidR="004C2FD0" w:rsidRPr="002D1EA2" w:rsidRDefault="004C2FD0" w:rsidP="000236E4">
      <w:pPr>
        <w:shd w:val="clear" w:color="auto" w:fill="FFFFFF"/>
        <w:spacing w:after="135" w:line="240" w:lineRule="auto"/>
        <w:jc w:val="both"/>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i/>
          <w:iCs/>
          <w:color w:val="333333"/>
          <w:sz w:val="24"/>
          <w:szCs w:val="24"/>
          <w:lang w:eastAsia="uk-UA"/>
        </w:rPr>
        <w:t>**Для розрахунку витрат використовується мінімальний розмір заробітної плати відповідно до ст. 8 Закону України «Про Державний бюджет України на 2020 рік» - мінімальна заробітна плата у 2020 році – 4723,00 грн,  у погодинному розмірі – 28,31 грн.</w:t>
      </w:r>
    </w:p>
    <w:p w:rsidR="004C2FD0" w:rsidRPr="002D1EA2" w:rsidRDefault="004C2FD0" w:rsidP="000236E4">
      <w:pPr>
        <w:shd w:val="clear" w:color="auto" w:fill="FFFFFF"/>
        <w:spacing w:after="135" w:line="240" w:lineRule="auto"/>
        <w:ind w:firstLine="419"/>
        <w:jc w:val="both"/>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Розрахунок витрат суб’єктів господарювання на сплату податку за 1 кв. м житлової та/або нежитлової нерухомості, що перебуває у їх власності,  наведено в таблиці 3 до аналізу регуляторного впливу проекту рішення міської ради «Про встановлення ставок зі сплати податку на нерухоме майно</w:t>
      </w:r>
      <w:r w:rsidR="000236E4">
        <w:rPr>
          <w:rFonts w:ascii="Times New Roman" w:eastAsia="Times New Roman" w:hAnsi="Times New Roman" w:cs="Times New Roman"/>
          <w:color w:val="333333"/>
          <w:sz w:val="24"/>
          <w:szCs w:val="24"/>
          <w:lang w:eastAsia="uk-UA"/>
        </w:rPr>
        <w:t>, відмінне від земельної ділянки</w:t>
      </w:r>
      <w:r w:rsidRPr="002D1EA2">
        <w:rPr>
          <w:rFonts w:ascii="Times New Roman" w:eastAsia="Times New Roman" w:hAnsi="Times New Roman" w:cs="Times New Roman"/>
          <w:color w:val="333333"/>
          <w:sz w:val="24"/>
          <w:szCs w:val="24"/>
          <w:lang w:eastAsia="uk-UA"/>
        </w:rPr>
        <w:t>».</w:t>
      </w:r>
    </w:p>
    <w:p w:rsidR="00AA66A5" w:rsidRDefault="00AA66A5" w:rsidP="000236E4">
      <w:pPr>
        <w:shd w:val="clear" w:color="auto" w:fill="FFFFFF"/>
        <w:spacing w:after="135" w:line="240" w:lineRule="auto"/>
        <w:ind w:left="5375" w:firstLine="289"/>
        <w:rPr>
          <w:rFonts w:ascii="Times New Roman" w:eastAsia="Times New Roman" w:hAnsi="Times New Roman" w:cs="Times New Roman"/>
          <w:i/>
          <w:iCs/>
          <w:color w:val="333333"/>
          <w:sz w:val="24"/>
          <w:szCs w:val="24"/>
          <w:lang w:eastAsia="uk-UA"/>
        </w:rPr>
      </w:pPr>
      <w:r>
        <w:rPr>
          <w:rFonts w:ascii="Times New Roman" w:eastAsia="Times New Roman" w:hAnsi="Times New Roman" w:cs="Times New Roman"/>
          <w:i/>
          <w:iCs/>
          <w:color w:val="333333"/>
          <w:sz w:val="24"/>
          <w:szCs w:val="24"/>
          <w:lang w:eastAsia="uk-UA"/>
        </w:rPr>
        <w:t xml:space="preserve"> </w:t>
      </w:r>
    </w:p>
    <w:p w:rsidR="00AA66A5" w:rsidRDefault="00AA66A5" w:rsidP="000236E4">
      <w:pPr>
        <w:shd w:val="clear" w:color="auto" w:fill="FFFFFF"/>
        <w:spacing w:after="135" w:line="240" w:lineRule="auto"/>
        <w:ind w:left="5375" w:firstLine="289"/>
        <w:rPr>
          <w:rFonts w:ascii="Times New Roman" w:eastAsia="Times New Roman" w:hAnsi="Times New Roman" w:cs="Times New Roman"/>
          <w:i/>
          <w:iCs/>
          <w:color w:val="333333"/>
          <w:sz w:val="24"/>
          <w:szCs w:val="24"/>
          <w:lang w:eastAsia="uk-UA"/>
        </w:rPr>
      </w:pPr>
    </w:p>
    <w:p w:rsidR="00AA66A5" w:rsidRDefault="00AA66A5" w:rsidP="000236E4">
      <w:pPr>
        <w:shd w:val="clear" w:color="auto" w:fill="FFFFFF"/>
        <w:spacing w:after="135" w:line="240" w:lineRule="auto"/>
        <w:ind w:left="5375" w:firstLine="289"/>
        <w:rPr>
          <w:rFonts w:ascii="Times New Roman" w:eastAsia="Times New Roman" w:hAnsi="Times New Roman" w:cs="Times New Roman"/>
          <w:i/>
          <w:iCs/>
          <w:color w:val="333333"/>
          <w:sz w:val="24"/>
          <w:szCs w:val="24"/>
          <w:lang w:eastAsia="uk-UA"/>
        </w:rPr>
      </w:pPr>
    </w:p>
    <w:p w:rsidR="00AA66A5" w:rsidRDefault="00AA66A5" w:rsidP="000236E4">
      <w:pPr>
        <w:shd w:val="clear" w:color="auto" w:fill="FFFFFF"/>
        <w:spacing w:after="135" w:line="240" w:lineRule="auto"/>
        <w:ind w:left="5375" w:firstLine="289"/>
        <w:rPr>
          <w:rFonts w:ascii="Times New Roman" w:eastAsia="Times New Roman" w:hAnsi="Times New Roman" w:cs="Times New Roman"/>
          <w:i/>
          <w:iCs/>
          <w:color w:val="333333"/>
          <w:sz w:val="24"/>
          <w:szCs w:val="24"/>
          <w:lang w:eastAsia="uk-UA"/>
        </w:rPr>
      </w:pPr>
    </w:p>
    <w:p w:rsidR="004C2FD0" w:rsidRPr="007A47BF" w:rsidRDefault="004C2FD0" w:rsidP="000236E4">
      <w:pPr>
        <w:shd w:val="clear" w:color="auto" w:fill="FFFFFF"/>
        <w:spacing w:after="135" w:line="240" w:lineRule="auto"/>
        <w:ind w:left="5375" w:firstLine="289"/>
        <w:rPr>
          <w:rFonts w:ascii="Times New Roman" w:eastAsia="Times New Roman" w:hAnsi="Times New Roman" w:cs="Times New Roman"/>
          <w:color w:val="333333"/>
          <w:sz w:val="24"/>
          <w:szCs w:val="24"/>
          <w:lang w:eastAsia="uk-UA"/>
        </w:rPr>
      </w:pPr>
      <w:r w:rsidRPr="007A47BF">
        <w:rPr>
          <w:rFonts w:ascii="Times New Roman" w:eastAsia="Times New Roman" w:hAnsi="Times New Roman" w:cs="Times New Roman"/>
          <w:i/>
          <w:iCs/>
          <w:color w:val="333333"/>
          <w:sz w:val="24"/>
          <w:szCs w:val="24"/>
          <w:lang w:eastAsia="uk-UA"/>
        </w:rPr>
        <w:t>Додаток  2</w:t>
      </w:r>
    </w:p>
    <w:p w:rsidR="004C2FD0" w:rsidRPr="007A47BF" w:rsidRDefault="004C2FD0" w:rsidP="004C2FD0">
      <w:pPr>
        <w:shd w:val="clear" w:color="auto" w:fill="FFFFFF"/>
        <w:spacing w:after="135" w:line="240" w:lineRule="auto"/>
        <w:ind w:left="5664"/>
        <w:rPr>
          <w:rFonts w:ascii="Times New Roman" w:eastAsia="Times New Roman" w:hAnsi="Times New Roman" w:cs="Times New Roman"/>
          <w:color w:val="333333"/>
          <w:sz w:val="24"/>
          <w:szCs w:val="24"/>
          <w:lang w:eastAsia="uk-UA"/>
        </w:rPr>
      </w:pPr>
      <w:r w:rsidRPr="007A47BF">
        <w:rPr>
          <w:rFonts w:ascii="Times New Roman" w:eastAsia="Times New Roman" w:hAnsi="Times New Roman" w:cs="Times New Roman"/>
          <w:i/>
          <w:iCs/>
          <w:color w:val="333333"/>
          <w:sz w:val="24"/>
          <w:szCs w:val="24"/>
          <w:lang w:eastAsia="uk-UA"/>
        </w:rPr>
        <w:t>до аналізу регуляторного впливу до проекту регуляторного акта – рішення міської ради «</w:t>
      </w:r>
      <w:r w:rsidRPr="007A47BF">
        <w:rPr>
          <w:rFonts w:ascii="Times New Roman" w:eastAsia="Times New Roman" w:hAnsi="Times New Roman" w:cs="Times New Roman"/>
          <w:color w:val="333333"/>
          <w:sz w:val="24"/>
          <w:szCs w:val="24"/>
          <w:lang w:eastAsia="uk-UA"/>
        </w:rPr>
        <w:t>Про встановлення ставок зі сплати податку на нерухоме майно, відмінне від земельної ділянки</w:t>
      </w:r>
      <w:r w:rsidRPr="007A47BF">
        <w:rPr>
          <w:rFonts w:ascii="Times New Roman" w:eastAsia="Times New Roman" w:hAnsi="Times New Roman" w:cs="Times New Roman"/>
          <w:i/>
          <w:iCs/>
          <w:color w:val="333333"/>
          <w:sz w:val="24"/>
          <w:szCs w:val="24"/>
          <w:lang w:eastAsia="uk-UA"/>
        </w:rPr>
        <w:t>»</w:t>
      </w:r>
    </w:p>
    <w:p w:rsidR="004C2FD0" w:rsidRPr="007A47BF" w:rsidRDefault="004C2FD0" w:rsidP="004C2FD0">
      <w:pPr>
        <w:shd w:val="clear" w:color="auto" w:fill="FFFFFF"/>
        <w:spacing w:after="135" w:line="240" w:lineRule="auto"/>
        <w:rPr>
          <w:rFonts w:ascii="Times New Roman" w:eastAsia="Times New Roman" w:hAnsi="Times New Roman" w:cs="Times New Roman"/>
          <w:color w:val="333333"/>
          <w:sz w:val="24"/>
          <w:szCs w:val="24"/>
          <w:lang w:eastAsia="uk-UA"/>
        </w:rPr>
      </w:pPr>
      <w:r w:rsidRPr="007A47BF">
        <w:rPr>
          <w:rFonts w:ascii="Times New Roman" w:eastAsia="Times New Roman" w:hAnsi="Times New Roman" w:cs="Times New Roman"/>
          <w:color w:val="333333"/>
          <w:sz w:val="24"/>
          <w:szCs w:val="24"/>
          <w:lang w:eastAsia="uk-UA"/>
        </w:rPr>
        <w:t> </w:t>
      </w:r>
    </w:p>
    <w:p w:rsidR="004C2FD0" w:rsidRPr="002D1EA2" w:rsidRDefault="004C2FD0" w:rsidP="004C2FD0">
      <w:pPr>
        <w:shd w:val="clear" w:color="auto" w:fill="FFFFFF"/>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i/>
          <w:iCs/>
          <w:color w:val="333333"/>
          <w:sz w:val="24"/>
          <w:szCs w:val="24"/>
          <w:lang w:eastAsia="uk-UA"/>
        </w:rPr>
        <w:t>БЮДЖЕТНІ ВИТРАТИ</w:t>
      </w:r>
      <w:r w:rsidRPr="002D1EA2">
        <w:rPr>
          <w:rFonts w:ascii="Times New Roman" w:eastAsia="Times New Roman" w:hAnsi="Times New Roman" w:cs="Times New Roman"/>
          <w:i/>
          <w:iCs/>
          <w:color w:val="333333"/>
          <w:sz w:val="24"/>
          <w:szCs w:val="24"/>
          <w:lang w:eastAsia="uk-UA"/>
        </w:rPr>
        <w:br/>
        <w:t>на адміністрування регулювання для суб’єктів</w:t>
      </w:r>
      <w:r w:rsidRPr="002D1EA2">
        <w:rPr>
          <w:rFonts w:ascii="Times New Roman" w:eastAsia="Times New Roman" w:hAnsi="Times New Roman" w:cs="Times New Roman"/>
          <w:i/>
          <w:iCs/>
          <w:color w:val="333333"/>
          <w:sz w:val="24"/>
          <w:szCs w:val="24"/>
          <w:lang w:eastAsia="uk-UA"/>
        </w:rPr>
        <w:br/>
        <w:t>великого й середнього підприємництва</w:t>
      </w:r>
    </w:p>
    <w:p w:rsidR="004C2FD0" w:rsidRPr="002D1EA2" w:rsidRDefault="004C2FD0" w:rsidP="004C2FD0">
      <w:pPr>
        <w:shd w:val="clear" w:color="auto" w:fill="FFFFFF"/>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p w:rsidR="004C2FD0" w:rsidRPr="002D1EA2" w:rsidRDefault="004C2FD0" w:rsidP="000236E4">
      <w:pPr>
        <w:shd w:val="clear" w:color="auto" w:fill="FFFFFF"/>
        <w:spacing w:after="135" w:line="240" w:lineRule="auto"/>
        <w:ind w:firstLine="708"/>
        <w:jc w:val="both"/>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Державне регулювання рішення не передбачає утворення нового державного органу (або нового структурного підрозділу діючого органу). Орган, для якого здійснюється розрахунок вартості адміністрування регулювання –Головне управління  Д</w:t>
      </w:r>
      <w:r w:rsidR="000236E4">
        <w:rPr>
          <w:rFonts w:ascii="Times New Roman" w:eastAsia="Times New Roman" w:hAnsi="Times New Roman" w:cs="Times New Roman"/>
          <w:color w:val="333333"/>
          <w:sz w:val="24"/>
          <w:szCs w:val="24"/>
          <w:lang w:eastAsia="uk-UA"/>
        </w:rPr>
        <w:t>П</w:t>
      </w:r>
      <w:r w:rsidRPr="002D1EA2">
        <w:rPr>
          <w:rFonts w:ascii="Times New Roman" w:eastAsia="Times New Roman" w:hAnsi="Times New Roman" w:cs="Times New Roman"/>
          <w:color w:val="333333"/>
          <w:sz w:val="24"/>
          <w:szCs w:val="24"/>
          <w:lang w:eastAsia="uk-UA"/>
        </w:rPr>
        <w:t xml:space="preserve">С у </w:t>
      </w:r>
      <w:r w:rsidR="000236E4">
        <w:rPr>
          <w:rFonts w:ascii="Times New Roman" w:eastAsia="Times New Roman" w:hAnsi="Times New Roman" w:cs="Times New Roman"/>
          <w:color w:val="333333"/>
          <w:sz w:val="24"/>
          <w:szCs w:val="24"/>
          <w:lang w:eastAsia="uk-UA"/>
        </w:rPr>
        <w:t>Волинській</w:t>
      </w:r>
      <w:r w:rsidRPr="002D1EA2">
        <w:rPr>
          <w:rFonts w:ascii="Times New Roman" w:eastAsia="Times New Roman" w:hAnsi="Times New Roman" w:cs="Times New Roman"/>
          <w:color w:val="333333"/>
          <w:sz w:val="24"/>
          <w:szCs w:val="24"/>
          <w:lang w:eastAsia="uk-UA"/>
        </w:rPr>
        <w:t xml:space="preserve"> області.</w:t>
      </w:r>
    </w:p>
    <w:p w:rsidR="004C2FD0" w:rsidRPr="002D1EA2" w:rsidRDefault="004C2FD0" w:rsidP="000236E4">
      <w:pPr>
        <w:shd w:val="clear" w:color="auto" w:fill="FFFFFF"/>
        <w:spacing w:after="135" w:line="240" w:lineRule="auto"/>
        <w:ind w:firstLine="708"/>
        <w:jc w:val="both"/>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Вартість планових витрат часу на процедуру, співробітника органу державної влади відповідної категорії (заробітна плата), оцінка кількості процедур за рік, що припадають на одного суб’єкта, кількості суб’єктів, що підпадають під дію процедури регулювання, витрати на адміністрування регулювання розраховано відповідно до даних, наданих Головним управлінням Д</w:t>
      </w:r>
      <w:r w:rsidR="000236E4">
        <w:rPr>
          <w:rFonts w:ascii="Times New Roman" w:eastAsia="Times New Roman" w:hAnsi="Times New Roman" w:cs="Times New Roman"/>
          <w:color w:val="333333"/>
          <w:sz w:val="24"/>
          <w:szCs w:val="24"/>
          <w:lang w:eastAsia="uk-UA"/>
        </w:rPr>
        <w:t>П</w:t>
      </w:r>
      <w:r w:rsidRPr="002D1EA2">
        <w:rPr>
          <w:rFonts w:ascii="Times New Roman" w:eastAsia="Times New Roman" w:hAnsi="Times New Roman" w:cs="Times New Roman"/>
          <w:color w:val="333333"/>
          <w:sz w:val="24"/>
          <w:szCs w:val="24"/>
          <w:lang w:eastAsia="uk-UA"/>
        </w:rPr>
        <w:t xml:space="preserve">С у </w:t>
      </w:r>
      <w:r w:rsidR="000236E4">
        <w:rPr>
          <w:rFonts w:ascii="Times New Roman" w:eastAsia="Times New Roman" w:hAnsi="Times New Roman" w:cs="Times New Roman"/>
          <w:color w:val="333333"/>
          <w:sz w:val="24"/>
          <w:szCs w:val="24"/>
          <w:lang w:eastAsia="uk-UA"/>
        </w:rPr>
        <w:t xml:space="preserve">Волинській </w:t>
      </w:r>
      <w:r w:rsidRPr="002D1EA2">
        <w:rPr>
          <w:rFonts w:ascii="Times New Roman" w:eastAsia="Times New Roman" w:hAnsi="Times New Roman" w:cs="Times New Roman"/>
          <w:color w:val="333333"/>
          <w:sz w:val="24"/>
          <w:szCs w:val="24"/>
          <w:lang w:eastAsia="uk-UA"/>
        </w:rPr>
        <w:t>області.</w:t>
      </w:r>
    </w:p>
    <w:p w:rsidR="004C2FD0" w:rsidRPr="002D1EA2" w:rsidRDefault="004C2FD0" w:rsidP="004C2FD0">
      <w:pPr>
        <w:shd w:val="clear" w:color="auto" w:fill="FFFFFF"/>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(Вартість 1 години роботи спеціаліста відповідної кваліфікації складає 28,31 грн, мінімальна заробітна плата 4723,00 грн.).</w:t>
      </w:r>
    </w:p>
    <w:p w:rsidR="004C2FD0" w:rsidRPr="002D1EA2" w:rsidRDefault="004C2FD0" w:rsidP="004C2FD0">
      <w:pPr>
        <w:shd w:val="clear" w:color="auto" w:fill="FFFFFF"/>
        <w:spacing w:after="135" w:line="240" w:lineRule="auto"/>
        <w:jc w:val="right"/>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i/>
          <w:iCs/>
          <w:color w:val="333333"/>
          <w:sz w:val="24"/>
          <w:szCs w:val="24"/>
          <w:lang w:eastAsia="uk-UA"/>
        </w:rPr>
        <w:t>Таблиця 1</w:t>
      </w:r>
    </w:p>
    <w:tbl>
      <w:tblPr>
        <w:tblW w:w="5310" w:type="pct"/>
        <w:shd w:val="clear" w:color="auto" w:fill="FFFFFF"/>
        <w:tblLayout w:type="fixed"/>
        <w:tblCellMar>
          <w:left w:w="0" w:type="dxa"/>
          <w:right w:w="0" w:type="dxa"/>
        </w:tblCellMar>
        <w:tblLook w:val="04A0"/>
      </w:tblPr>
      <w:tblGrid>
        <w:gridCol w:w="306"/>
        <w:gridCol w:w="2962"/>
        <w:gridCol w:w="1276"/>
        <w:gridCol w:w="1561"/>
        <w:gridCol w:w="1135"/>
        <w:gridCol w:w="1560"/>
        <w:gridCol w:w="1417"/>
        <w:gridCol w:w="30"/>
      </w:tblGrid>
      <w:tr w:rsidR="00A21829" w:rsidRPr="002D1EA2" w:rsidTr="00A21829">
        <w:trPr>
          <w:gridAfter w:val="1"/>
          <w:wAfter w:w="30" w:type="dxa"/>
        </w:trPr>
        <w:tc>
          <w:tcPr>
            <w:tcW w:w="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 з/п</w:t>
            </w:r>
          </w:p>
        </w:tc>
        <w:tc>
          <w:tcPr>
            <w:tcW w:w="29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Процедура регулювання суб’єктів малого підприємництва (розрахунок на одного типового суб’єкта господарювання малого підприємництва)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Планові витрати часу на процедуру, годин</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Вартість часу співробітника органу державної влади відповідної категорії (заробітна плата) грн./ годин</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Оцінка кількості процедур за рік, що припадають на одного суб’єкта</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Оцінка кількості  суб’єктів, що підпадають під дію процедури регулювання</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Витрати на адміністрування регулювання* за рік, грн.</w:t>
            </w:r>
          </w:p>
        </w:tc>
      </w:tr>
      <w:tr w:rsidR="00A21829" w:rsidRPr="002D1EA2" w:rsidTr="00A21829">
        <w:trPr>
          <w:gridAfter w:val="1"/>
          <w:wAfter w:w="30" w:type="dxa"/>
        </w:trPr>
        <w:tc>
          <w:tcPr>
            <w:tcW w:w="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1</w:t>
            </w:r>
          </w:p>
        </w:tc>
        <w:tc>
          <w:tcPr>
            <w:tcW w:w="29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6</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7</w:t>
            </w:r>
          </w:p>
        </w:tc>
      </w:tr>
      <w:tr w:rsidR="00A21829" w:rsidRPr="002D1EA2" w:rsidTr="00A21829">
        <w:trPr>
          <w:gridAfter w:val="1"/>
          <w:wAfter w:w="30" w:type="dxa"/>
        </w:trPr>
        <w:tc>
          <w:tcPr>
            <w:tcW w:w="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1</w:t>
            </w:r>
          </w:p>
        </w:tc>
        <w:tc>
          <w:tcPr>
            <w:tcW w:w="29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Облік суб’єктів господарювання, що перебувають у сфері регулювання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28,31***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2FD0" w:rsidRPr="002D1EA2" w:rsidRDefault="00A75D73" w:rsidP="00A75D73">
            <w:pPr>
              <w:spacing w:after="135"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0</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0,00</w:t>
            </w:r>
          </w:p>
        </w:tc>
      </w:tr>
      <w:tr w:rsidR="00A21829" w:rsidRPr="002D1EA2" w:rsidTr="00A21829">
        <w:trPr>
          <w:gridAfter w:val="1"/>
          <w:wAfter w:w="30" w:type="dxa"/>
          <w:trHeight w:val="1380"/>
        </w:trPr>
        <w:tc>
          <w:tcPr>
            <w:tcW w:w="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2</w:t>
            </w:r>
          </w:p>
        </w:tc>
        <w:tc>
          <w:tcPr>
            <w:tcW w:w="29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Поточний контроль за суб’єктом господарювання, що перебуває  у   сфері   регулювання, у тому числі: камеральний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28,31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2FD0" w:rsidRPr="002D1EA2" w:rsidRDefault="00A75D73" w:rsidP="00A75D73">
            <w:pPr>
              <w:spacing w:after="135"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2FD0" w:rsidRPr="002D1EA2" w:rsidRDefault="009878DD" w:rsidP="004C2FD0">
            <w:pPr>
              <w:spacing w:after="135"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9</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2FD0" w:rsidRPr="002D1EA2" w:rsidRDefault="009878DD" w:rsidP="004C2FD0">
            <w:pPr>
              <w:spacing w:after="135"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50,96</w:t>
            </w:r>
          </w:p>
        </w:tc>
      </w:tr>
      <w:tr w:rsidR="00A21829" w:rsidRPr="002D1EA2" w:rsidTr="00A21829">
        <w:trPr>
          <w:gridAfter w:val="1"/>
          <w:wAfter w:w="30" w:type="dxa"/>
        </w:trPr>
        <w:tc>
          <w:tcPr>
            <w:tcW w:w="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3</w:t>
            </w:r>
          </w:p>
        </w:tc>
        <w:tc>
          <w:tcPr>
            <w:tcW w:w="29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2FD0" w:rsidRPr="002D1EA2" w:rsidRDefault="004C2FD0" w:rsidP="00A75D73">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xml:space="preserve">Підготовка, затвердження та </w:t>
            </w:r>
            <w:r w:rsidRPr="002D1EA2">
              <w:rPr>
                <w:rFonts w:ascii="Times New Roman" w:eastAsia="Times New Roman" w:hAnsi="Times New Roman" w:cs="Times New Roman"/>
                <w:color w:val="333333"/>
                <w:sz w:val="24"/>
                <w:szCs w:val="24"/>
                <w:lang w:eastAsia="uk-UA"/>
              </w:rPr>
              <w:lastRenderedPageBreak/>
              <w:t>опрацювання одного окремого акта про порушення вимог регулювання (оскільки не може бути 100% порушень, беремо 5% платників податку)</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lastRenderedPageBreak/>
              <w:t>0,5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28,31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2FD0" w:rsidRPr="002D1EA2" w:rsidRDefault="00A75D73" w:rsidP="004C2FD0">
            <w:pPr>
              <w:spacing w:after="135"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2FD0" w:rsidRPr="002D1EA2" w:rsidRDefault="00A75D73" w:rsidP="004C2FD0">
            <w:pPr>
              <w:spacing w:after="135"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9</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2FD0" w:rsidRPr="002D1EA2" w:rsidRDefault="009878DD" w:rsidP="004C2FD0">
            <w:pPr>
              <w:spacing w:after="135"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127,4</w:t>
            </w:r>
          </w:p>
        </w:tc>
      </w:tr>
      <w:tr w:rsidR="00A21829" w:rsidRPr="002D1EA2" w:rsidTr="00A21829">
        <w:trPr>
          <w:gridAfter w:val="1"/>
          <w:wAfter w:w="30" w:type="dxa"/>
          <w:trHeight w:val="1703"/>
        </w:trPr>
        <w:tc>
          <w:tcPr>
            <w:tcW w:w="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36E4" w:rsidRPr="002D1EA2" w:rsidRDefault="000236E4"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lastRenderedPageBreak/>
              <w:t>4</w:t>
            </w:r>
          </w:p>
        </w:tc>
        <w:tc>
          <w:tcPr>
            <w:tcW w:w="29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36E4" w:rsidRPr="002D1EA2" w:rsidRDefault="000236E4"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Реалізація одного окремого рішення щодо порушення вимог регулювання (оскільки не м</w:t>
            </w:r>
            <w:r w:rsidR="00A21829">
              <w:rPr>
                <w:rFonts w:ascii="Times New Roman" w:eastAsia="Times New Roman" w:hAnsi="Times New Roman" w:cs="Times New Roman"/>
                <w:color w:val="333333"/>
                <w:sz w:val="24"/>
                <w:szCs w:val="24"/>
                <w:lang w:eastAsia="uk-UA"/>
              </w:rPr>
              <w:t xml:space="preserve">оже бути 100% порушень, беремо </w:t>
            </w:r>
            <w:r w:rsidRPr="002D1EA2">
              <w:rPr>
                <w:rFonts w:ascii="Times New Roman" w:eastAsia="Times New Roman" w:hAnsi="Times New Roman" w:cs="Times New Roman"/>
                <w:color w:val="333333"/>
                <w:sz w:val="24"/>
                <w:szCs w:val="24"/>
                <w:lang w:eastAsia="uk-UA"/>
              </w:rPr>
              <w:t>5% платників податку)</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36E4" w:rsidRPr="002D1EA2" w:rsidRDefault="000236E4"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36E4" w:rsidRPr="002D1EA2" w:rsidRDefault="000236E4"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28,31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36E4" w:rsidRPr="002D1EA2" w:rsidRDefault="000236E4"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36E4" w:rsidRPr="002D1EA2" w:rsidRDefault="00A75D73" w:rsidP="00A75D73">
            <w:pPr>
              <w:spacing w:after="135"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9</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36E4" w:rsidRPr="002D1EA2" w:rsidRDefault="009878DD" w:rsidP="004C2FD0">
            <w:pPr>
              <w:spacing w:after="135"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50,96</w:t>
            </w:r>
          </w:p>
        </w:tc>
      </w:tr>
      <w:tr w:rsidR="00A21829" w:rsidRPr="002D1EA2" w:rsidTr="00A21829">
        <w:trPr>
          <w:gridAfter w:val="1"/>
          <w:wAfter w:w="30" w:type="dxa"/>
          <w:trHeight w:val="88"/>
        </w:trPr>
        <w:tc>
          <w:tcPr>
            <w:tcW w:w="307" w:type="dxa"/>
            <w:tcBorders>
              <w:top w:val="single" w:sz="4" w:space="0" w:color="auto"/>
              <w:left w:val="single" w:sz="4" w:space="0" w:color="auto"/>
              <w:right w:val="single" w:sz="4" w:space="0" w:color="auto"/>
            </w:tcBorders>
            <w:shd w:val="clear" w:color="auto" w:fill="FFFFFF"/>
            <w:vAlign w:val="center"/>
          </w:tcPr>
          <w:p w:rsidR="00A21829" w:rsidRPr="002D1EA2" w:rsidRDefault="00A21829" w:rsidP="004C2FD0">
            <w:pPr>
              <w:spacing w:after="135" w:line="240" w:lineRule="auto"/>
              <w:jc w:val="center"/>
              <w:rPr>
                <w:rFonts w:ascii="Times New Roman" w:eastAsia="Times New Roman" w:hAnsi="Times New Roman" w:cs="Times New Roman"/>
                <w:color w:val="333333"/>
                <w:sz w:val="24"/>
                <w:szCs w:val="24"/>
                <w:lang w:eastAsia="uk-UA"/>
              </w:rPr>
            </w:pPr>
          </w:p>
        </w:tc>
        <w:tc>
          <w:tcPr>
            <w:tcW w:w="2961" w:type="dxa"/>
            <w:tcBorders>
              <w:top w:val="single" w:sz="4" w:space="0" w:color="auto"/>
              <w:left w:val="single" w:sz="4" w:space="0" w:color="auto"/>
              <w:right w:val="single" w:sz="4" w:space="0" w:color="auto"/>
            </w:tcBorders>
            <w:shd w:val="clear" w:color="auto" w:fill="FFFFFF"/>
            <w:vAlign w:val="center"/>
          </w:tcPr>
          <w:p w:rsidR="00A21829" w:rsidRPr="002D1EA2" w:rsidRDefault="00A21829" w:rsidP="004C2FD0">
            <w:pPr>
              <w:spacing w:after="135" w:line="240" w:lineRule="auto"/>
              <w:rPr>
                <w:rFonts w:ascii="Times New Roman" w:eastAsia="Times New Roman" w:hAnsi="Times New Roman" w:cs="Times New Roman"/>
                <w:color w:val="333333"/>
                <w:sz w:val="24"/>
                <w:szCs w:val="24"/>
                <w:lang w:eastAsia="uk-UA"/>
              </w:rPr>
            </w:pPr>
          </w:p>
        </w:tc>
        <w:tc>
          <w:tcPr>
            <w:tcW w:w="1275" w:type="dxa"/>
            <w:tcBorders>
              <w:top w:val="single" w:sz="4" w:space="0" w:color="auto"/>
              <w:left w:val="single" w:sz="4" w:space="0" w:color="auto"/>
              <w:right w:val="single" w:sz="4" w:space="0" w:color="auto"/>
            </w:tcBorders>
            <w:shd w:val="clear" w:color="auto" w:fill="FFFFFF"/>
            <w:vAlign w:val="center"/>
          </w:tcPr>
          <w:p w:rsidR="00A21829" w:rsidRPr="002D1EA2" w:rsidRDefault="00A21829" w:rsidP="004C2FD0">
            <w:pPr>
              <w:spacing w:after="135" w:line="240" w:lineRule="auto"/>
              <w:jc w:val="center"/>
              <w:rPr>
                <w:rFonts w:ascii="Times New Roman" w:eastAsia="Times New Roman" w:hAnsi="Times New Roman" w:cs="Times New Roman"/>
                <w:color w:val="333333"/>
                <w:sz w:val="24"/>
                <w:szCs w:val="24"/>
                <w:lang w:eastAsia="uk-UA"/>
              </w:rPr>
            </w:pPr>
          </w:p>
        </w:tc>
        <w:tc>
          <w:tcPr>
            <w:tcW w:w="1560" w:type="dxa"/>
            <w:tcBorders>
              <w:top w:val="single" w:sz="4" w:space="0" w:color="auto"/>
              <w:left w:val="single" w:sz="4" w:space="0" w:color="auto"/>
              <w:right w:val="single" w:sz="4" w:space="0" w:color="auto"/>
            </w:tcBorders>
            <w:shd w:val="clear" w:color="auto" w:fill="FFFFFF"/>
            <w:vAlign w:val="center"/>
          </w:tcPr>
          <w:p w:rsidR="00A21829" w:rsidRPr="002D1EA2" w:rsidRDefault="00A21829" w:rsidP="004C2FD0">
            <w:pPr>
              <w:spacing w:after="135" w:line="240" w:lineRule="auto"/>
              <w:jc w:val="center"/>
              <w:rPr>
                <w:rFonts w:ascii="Times New Roman" w:eastAsia="Times New Roman" w:hAnsi="Times New Roman" w:cs="Times New Roman"/>
                <w:color w:val="333333"/>
                <w:sz w:val="24"/>
                <w:szCs w:val="24"/>
                <w:lang w:eastAsia="uk-UA"/>
              </w:rPr>
            </w:pPr>
          </w:p>
        </w:tc>
        <w:tc>
          <w:tcPr>
            <w:tcW w:w="1134" w:type="dxa"/>
            <w:tcBorders>
              <w:top w:val="single" w:sz="4" w:space="0" w:color="auto"/>
              <w:left w:val="single" w:sz="4" w:space="0" w:color="auto"/>
              <w:right w:val="single" w:sz="4" w:space="0" w:color="auto"/>
            </w:tcBorders>
            <w:shd w:val="clear" w:color="auto" w:fill="FFFFFF"/>
            <w:vAlign w:val="center"/>
          </w:tcPr>
          <w:p w:rsidR="00A21829" w:rsidRPr="002D1EA2" w:rsidRDefault="00A21829" w:rsidP="004C2FD0">
            <w:pPr>
              <w:spacing w:after="135" w:line="240" w:lineRule="auto"/>
              <w:jc w:val="center"/>
              <w:rPr>
                <w:rFonts w:ascii="Times New Roman" w:eastAsia="Times New Roman" w:hAnsi="Times New Roman" w:cs="Times New Roman"/>
                <w:color w:val="333333"/>
                <w:sz w:val="24"/>
                <w:szCs w:val="24"/>
                <w:lang w:eastAsia="uk-UA"/>
              </w:rPr>
            </w:pPr>
          </w:p>
        </w:tc>
        <w:tc>
          <w:tcPr>
            <w:tcW w:w="1559" w:type="dxa"/>
            <w:tcBorders>
              <w:top w:val="single" w:sz="4" w:space="0" w:color="auto"/>
              <w:left w:val="single" w:sz="4" w:space="0" w:color="auto"/>
              <w:right w:val="single" w:sz="4" w:space="0" w:color="auto"/>
            </w:tcBorders>
            <w:shd w:val="clear" w:color="auto" w:fill="FFFFFF"/>
            <w:vAlign w:val="center"/>
          </w:tcPr>
          <w:p w:rsidR="00A21829" w:rsidRPr="002D1EA2" w:rsidRDefault="00A21829" w:rsidP="004C2FD0">
            <w:pPr>
              <w:spacing w:after="135" w:line="240" w:lineRule="auto"/>
              <w:jc w:val="center"/>
              <w:rPr>
                <w:rFonts w:ascii="Times New Roman" w:eastAsia="Times New Roman" w:hAnsi="Times New Roman" w:cs="Times New Roman"/>
                <w:color w:val="333333"/>
                <w:sz w:val="24"/>
                <w:szCs w:val="24"/>
                <w:lang w:eastAsia="uk-UA"/>
              </w:rPr>
            </w:pPr>
          </w:p>
        </w:tc>
        <w:tc>
          <w:tcPr>
            <w:tcW w:w="1416" w:type="dxa"/>
            <w:vMerge w:val="restart"/>
            <w:tcBorders>
              <w:top w:val="single" w:sz="4" w:space="0" w:color="auto"/>
              <w:left w:val="single" w:sz="4" w:space="0" w:color="auto"/>
              <w:right w:val="single" w:sz="4" w:space="0" w:color="auto"/>
            </w:tcBorders>
            <w:shd w:val="clear" w:color="auto" w:fill="FFFFFF"/>
            <w:vAlign w:val="center"/>
          </w:tcPr>
          <w:p w:rsidR="00A21829" w:rsidRPr="002D1EA2" w:rsidRDefault="00A75D73" w:rsidP="00A75D73">
            <w:pPr>
              <w:spacing w:after="135" w:line="240" w:lineRule="auto"/>
              <w:ind w:right="573"/>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127,4</w:t>
            </w:r>
          </w:p>
        </w:tc>
      </w:tr>
      <w:tr w:rsidR="00A21829" w:rsidRPr="002D1EA2" w:rsidTr="00DB2889">
        <w:trPr>
          <w:trHeight w:val="1941"/>
        </w:trPr>
        <w:tc>
          <w:tcPr>
            <w:tcW w:w="307" w:type="dxa"/>
            <w:vMerge w:val="restart"/>
            <w:tcBorders>
              <w:left w:val="single" w:sz="4" w:space="0" w:color="auto"/>
              <w:right w:val="single" w:sz="4" w:space="0" w:color="auto"/>
            </w:tcBorders>
            <w:shd w:val="clear" w:color="auto" w:fill="FFFFFF"/>
            <w:vAlign w:val="center"/>
            <w:hideMark/>
          </w:tcPr>
          <w:p w:rsidR="00A21829" w:rsidRPr="002D1EA2" w:rsidRDefault="00A21829"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5</w:t>
            </w:r>
          </w:p>
        </w:tc>
        <w:tc>
          <w:tcPr>
            <w:tcW w:w="2961" w:type="dxa"/>
            <w:vMerge w:val="restart"/>
            <w:tcBorders>
              <w:left w:val="single" w:sz="4" w:space="0" w:color="auto"/>
              <w:right w:val="single" w:sz="4" w:space="0" w:color="auto"/>
            </w:tcBorders>
            <w:shd w:val="clear" w:color="auto" w:fill="FFFFFF"/>
            <w:vAlign w:val="center"/>
            <w:hideMark/>
          </w:tcPr>
          <w:p w:rsidR="00A21829" w:rsidRPr="002D1EA2" w:rsidRDefault="00A21829" w:rsidP="00A75D73">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Оскарження одного окремо-го рішення суб’єктами господарювання (усі порушники не будуть оскаржувати рішення, беремо 5% від загальної кількості платників, передбачених п. 3)</w:t>
            </w:r>
          </w:p>
        </w:tc>
        <w:tc>
          <w:tcPr>
            <w:tcW w:w="1275" w:type="dxa"/>
            <w:vMerge w:val="restart"/>
            <w:tcBorders>
              <w:left w:val="single" w:sz="4" w:space="0" w:color="auto"/>
              <w:right w:val="single" w:sz="4" w:space="0" w:color="auto"/>
            </w:tcBorders>
            <w:shd w:val="clear" w:color="auto" w:fill="FFFFFF"/>
            <w:vAlign w:val="center"/>
            <w:hideMark/>
          </w:tcPr>
          <w:p w:rsidR="00A21829" w:rsidRPr="002D1EA2" w:rsidRDefault="00A21829"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0,5</w:t>
            </w:r>
          </w:p>
        </w:tc>
        <w:tc>
          <w:tcPr>
            <w:tcW w:w="1560" w:type="dxa"/>
            <w:vMerge w:val="restart"/>
            <w:tcBorders>
              <w:left w:val="single" w:sz="4" w:space="0" w:color="auto"/>
              <w:right w:val="single" w:sz="4" w:space="0" w:color="auto"/>
            </w:tcBorders>
            <w:shd w:val="clear" w:color="auto" w:fill="FFFFFF"/>
            <w:vAlign w:val="center"/>
            <w:hideMark/>
          </w:tcPr>
          <w:p w:rsidR="00A21829" w:rsidRPr="002D1EA2" w:rsidRDefault="00A21829"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28,31</w:t>
            </w:r>
          </w:p>
        </w:tc>
        <w:tc>
          <w:tcPr>
            <w:tcW w:w="1134" w:type="dxa"/>
            <w:vMerge w:val="restart"/>
            <w:tcBorders>
              <w:left w:val="single" w:sz="4" w:space="0" w:color="auto"/>
              <w:right w:val="single" w:sz="4" w:space="0" w:color="auto"/>
            </w:tcBorders>
            <w:shd w:val="clear" w:color="auto" w:fill="FFFFFF"/>
            <w:vAlign w:val="center"/>
            <w:hideMark/>
          </w:tcPr>
          <w:p w:rsidR="00A21829" w:rsidRPr="002D1EA2" w:rsidRDefault="00A21829"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1</w:t>
            </w:r>
          </w:p>
        </w:tc>
        <w:tc>
          <w:tcPr>
            <w:tcW w:w="1559" w:type="dxa"/>
            <w:vMerge w:val="restart"/>
            <w:tcBorders>
              <w:left w:val="single" w:sz="4" w:space="0" w:color="auto"/>
              <w:right w:val="single" w:sz="4" w:space="0" w:color="auto"/>
            </w:tcBorders>
            <w:shd w:val="clear" w:color="auto" w:fill="FFFFFF"/>
            <w:vAlign w:val="center"/>
            <w:hideMark/>
          </w:tcPr>
          <w:p w:rsidR="00A21829" w:rsidRPr="002D1EA2" w:rsidRDefault="00A75D73" w:rsidP="00A75D73">
            <w:pPr>
              <w:spacing w:after="135"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9</w:t>
            </w:r>
          </w:p>
        </w:tc>
        <w:tc>
          <w:tcPr>
            <w:tcW w:w="1416" w:type="dxa"/>
            <w:vMerge/>
            <w:tcBorders>
              <w:left w:val="single" w:sz="4" w:space="0" w:color="auto"/>
              <w:right w:val="single" w:sz="4" w:space="0" w:color="auto"/>
            </w:tcBorders>
            <w:shd w:val="clear" w:color="auto" w:fill="FFFFFF"/>
            <w:vAlign w:val="center"/>
            <w:hideMark/>
          </w:tcPr>
          <w:p w:rsidR="00A21829" w:rsidRPr="002D1EA2" w:rsidRDefault="00A21829" w:rsidP="000236E4">
            <w:pPr>
              <w:spacing w:after="135" w:line="240" w:lineRule="auto"/>
              <w:ind w:right="948"/>
              <w:jc w:val="center"/>
              <w:rPr>
                <w:rFonts w:ascii="Times New Roman" w:eastAsia="Times New Roman" w:hAnsi="Times New Roman" w:cs="Times New Roman"/>
                <w:color w:val="333333"/>
                <w:sz w:val="24"/>
                <w:szCs w:val="24"/>
                <w:lang w:eastAsia="uk-UA"/>
              </w:rPr>
            </w:pPr>
          </w:p>
        </w:tc>
        <w:tc>
          <w:tcPr>
            <w:tcW w:w="30" w:type="dxa"/>
            <w:tcBorders>
              <w:top w:val="single" w:sz="4" w:space="0" w:color="auto"/>
              <w:left w:val="single" w:sz="4" w:space="0" w:color="auto"/>
              <w:bottom w:val="single" w:sz="4" w:space="0" w:color="auto"/>
              <w:right w:val="single" w:sz="4" w:space="0" w:color="auto"/>
            </w:tcBorders>
            <w:shd w:val="clear" w:color="auto" w:fill="FFFFFF"/>
            <w:vAlign w:val="center"/>
          </w:tcPr>
          <w:p w:rsidR="00A21829" w:rsidRPr="002D1EA2" w:rsidRDefault="00A21829" w:rsidP="000236E4">
            <w:pPr>
              <w:spacing w:after="135" w:line="240" w:lineRule="auto"/>
              <w:jc w:val="center"/>
              <w:rPr>
                <w:rFonts w:ascii="Times New Roman" w:eastAsia="Times New Roman" w:hAnsi="Times New Roman" w:cs="Times New Roman"/>
                <w:color w:val="333333"/>
                <w:sz w:val="24"/>
                <w:szCs w:val="24"/>
                <w:lang w:eastAsia="uk-UA"/>
              </w:rPr>
            </w:pPr>
          </w:p>
        </w:tc>
      </w:tr>
      <w:tr w:rsidR="00A21829" w:rsidRPr="002D1EA2" w:rsidTr="00DB2889">
        <w:tc>
          <w:tcPr>
            <w:tcW w:w="307" w:type="dxa"/>
            <w:vMerge/>
            <w:tcBorders>
              <w:left w:val="single" w:sz="4" w:space="0" w:color="auto"/>
              <w:right w:val="single" w:sz="4" w:space="0" w:color="auto"/>
            </w:tcBorders>
            <w:shd w:val="clear" w:color="auto" w:fill="FFFFFF"/>
            <w:vAlign w:val="center"/>
          </w:tcPr>
          <w:p w:rsidR="00A21829" w:rsidRPr="002D1EA2" w:rsidRDefault="00A21829" w:rsidP="004C2FD0">
            <w:pPr>
              <w:spacing w:after="135" w:line="240" w:lineRule="auto"/>
              <w:jc w:val="center"/>
              <w:rPr>
                <w:rFonts w:ascii="Times New Roman" w:eastAsia="Times New Roman" w:hAnsi="Times New Roman" w:cs="Times New Roman"/>
                <w:color w:val="333333"/>
                <w:sz w:val="24"/>
                <w:szCs w:val="24"/>
                <w:lang w:eastAsia="uk-UA"/>
              </w:rPr>
            </w:pPr>
          </w:p>
        </w:tc>
        <w:tc>
          <w:tcPr>
            <w:tcW w:w="2961" w:type="dxa"/>
            <w:vMerge/>
            <w:tcBorders>
              <w:left w:val="single" w:sz="4" w:space="0" w:color="auto"/>
              <w:bottom w:val="single" w:sz="4" w:space="0" w:color="auto"/>
              <w:right w:val="single" w:sz="4" w:space="0" w:color="auto"/>
            </w:tcBorders>
            <w:shd w:val="clear" w:color="auto" w:fill="FFFFFF"/>
            <w:vAlign w:val="center"/>
          </w:tcPr>
          <w:p w:rsidR="00A21829" w:rsidRPr="002D1EA2" w:rsidRDefault="00A21829" w:rsidP="004C2FD0">
            <w:pPr>
              <w:spacing w:after="135" w:line="240" w:lineRule="auto"/>
              <w:rPr>
                <w:rFonts w:ascii="Times New Roman" w:eastAsia="Times New Roman" w:hAnsi="Times New Roman" w:cs="Times New Roman"/>
                <w:color w:val="333333"/>
                <w:sz w:val="24"/>
                <w:szCs w:val="24"/>
                <w:lang w:eastAsia="uk-UA"/>
              </w:rPr>
            </w:pPr>
          </w:p>
        </w:tc>
        <w:tc>
          <w:tcPr>
            <w:tcW w:w="1275" w:type="dxa"/>
            <w:vMerge/>
            <w:tcBorders>
              <w:left w:val="single" w:sz="4" w:space="0" w:color="auto"/>
              <w:bottom w:val="single" w:sz="4" w:space="0" w:color="auto"/>
              <w:right w:val="single" w:sz="4" w:space="0" w:color="auto"/>
            </w:tcBorders>
            <w:shd w:val="clear" w:color="auto" w:fill="FFFFFF"/>
            <w:vAlign w:val="center"/>
          </w:tcPr>
          <w:p w:rsidR="00A21829" w:rsidRPr="002D1EA2" w:rsidRDefault="00A21829" w:rsidP="004C2FD0">
            <w:pPr>
              <w:spacing w:after="135" w:line="240" w:lineRule="auto"/>
              <w:jc w:val="center"/>
              <w:rPr>
                <w:rFonts w:ascii="Times New Roman" w:eastAsia="Times New Roman" w:hAnsi="Times New Roman" w:cs="Times New Roman"/>
                <w:color w:val="333333"/>
                <w:sz w:val="24"/>
                <w:szCs w:val="24"/>
                <w:lang w:eastAsia="uk-UA"/>
              </w:rPr>
            </w:pPr>
          </w:p>
        </w:tc>
        <w:tc>
          <w:tcPr>
            <w:tcW w:w="1560" w:type="dxa"/>
            <w:vMerge/>
            <w:tcBorders>
              <w:left w:val="single" w:sz="4" w:space="0" w:color="auto"/>
              <w:bottom w:val="single" w:sz="4" w:space="0" w:color="auto"/>
              <w:right w:val="single" w:sz="4" w:space="0" w:color="auto"/>
            </w:tcBorders>
            <w:shd w:val="clear" w:color="auto" w:fill="FFFFFF"/>
            <w:vAlign w:val="center"/>
          </w:tcPr>
          <w:p w:rsidR="00A21829" w:rsidRPr="002D1EA2" w:rsidRDefault="00A21829" w:rsidP="004C2FD0">
            <w:pPr>
              <w:spacing w:after="135" w:line="240" w:lineRule="auto"/>
              <w:jc w:val="center"/>
              <w:rPr>
                <w:rFonts w:ascii="Times New Roman" w:eastAsia="Times New Roman" w:hAnsi="Times New Roman" w:cs="Times New Roman"/>
                <w:color w:val="333333"/>
                <w:sz w:val="24"/>
                <w:szCs w:val="24"/>
                <w:lang w:eastAsia="uk-UA"/>
              </w:rPr>
            </w:pPr>
          </w:p>
        </w:tc>
        <w:tc>
          <w:tcPr>
            <w:tcW w:w="1134" w:type="dxa"/>
            <w:vMerge/>
            <w:tcBorders>
              <w:left w:val="single" w:sz="4" w:space="0" w:color="auto"/>
              <w:bottom w:val="single" w:sz="4" w:space="0" w:color="auto"/>
              <w:right w:val="single" w:sz="4" w:space="0" w:color="auto"/>
            </w:tcBorders>
            <w:shd w:val="clear" w:color="auto" w:fill="FFFFFF"/>
            <w:vAlign w:val="center"/>
          </w:tcPr>
          <w:p w:rsidR="00A21829" w:rsidRPr="002D1EA2" w:rsidRDefault="00A21829" w:rsidP="004C2FD0">
            <w:pPr>
              <w:spacing w:after="135" w:line="240" w:lineRule="auto"/>
              <w:jc w:val="center"/>
              <w:rPr>
                <w:rFonts w:ascii="Times New Roman" w:eastAsia="Times New Roman" w:hAnsi="Times New Roman" w:cs="Times New Roman"/>
                <w:color w:val="333333"/>
                <w:sz w:val="24"/>
                <w:szCs w:val="24"/>
                <w:lang w:eastAsia="uk-UA"/>
              </w:rPr>
            </w:pPr>
          </w:p>
        </w:tc>
        <w:tc>
          <w:tcPr>
            <w:tcW w:w="1559" w:type="dxa"/>
            <w:vMerge/>
            <w:tcBorders>
              <w:left w:val="single" w:sz="4" w:space="0" w:color="auto"/>
              <w:bottom w:val="single" w:sz="4" w:space="0" w:color="auto"/>
              <w:right w:val="single" w:sz="4" w:space="0" w:color="auto"/>
            </w:tcBorders>
            <w:shd w:val="clear" w:color="auto" w:fill="FFFFFF"/>
            <w:vAlign w:val="center"/>
          </w:tcPr>
          <w:p w:rsidR="00A21829" w:rsidRPr="002D1EA2" w:rsidRDefault="00A21829" w:rsidP="004C2FD0">
            <w:pPr>
              <w:spacing w:after="135" w:line="240" w:lineRule="auto"/>
              <w:jc w:val="center"/>
              <w:rPr>
                <w:rFonts w:ascii="Times New Roman" w:eastAsia="Times New Roman" w:hAnsi="Times New Roman" w:cs="Times New Roman"/>
                <w:color w:val="333333"/>
                <w:sz w:val="24"/>
                <w:szCs w:val="24"/>
                <w:lang w:eastAsia="uk-UA"/>
              </w:rPr>
            </w:pPr>
          </w:p>
        </w:tc>
        <w:tc>
          <w:tcPr>
            <w:tcW w:w="1416" w:type="dxa"/>
            <w:vMerge/>
            <w:tcBorders>
              <w:left w:val="single" w:sz="4" w:space="0" w:color="auto"/>
              <w:bottom w:val="single" w:sz="4" w:space="0" w:color="auto"/>
              <w:right w:val="single" w:sz="4" w:space="0" w:color="auto"/>
            </w:tcBorders>
            <w:shd w:val="clear" w:color="auto" w:fill="FFFFFF"/>
            <w:vAlign w:val="center"/>
          </w:tcPr>
          <w:p w:rsidR="00A21829" w:rsidRPr="002D1EA2" w:rsidRDefault="00A21829" w:rsidP="000236E4">
            <w:pPr>
              <w:spacing w:after="135" w:line="240" w:lineRule="auto"/>
              <w:ind w:right="948"/>
              <w:jc w:val="center"/>
              <w:rPr>
                <w:rFonts w:ascii="Times New Roman" w:eastAsia="Times New Roman" w:hAnsi="Times New Roman" w:cs="Times New Roman"/>
                <w:color w:val="333333"/>
                <w:sz w:val="24"/>
                <w:szCs w:val="24"/>
                <w:lang w:eastAsia="uk-UA"/>
              </w:rPr>
            </w:pPr>
          </w:p>
        </w:tc>
        <w:tc>
          <w:tcPr>
            <w:tcW w:w="30" w:type="dxa"/>
            <w:tcBorders>
              <w:top w:val="single" w:sz="4" w:space="0" w:color="auto"/>
              <w:left w:val="single" w:sz="4" w:space="0" w:color="auto"/>
              <w:bottom w:val="single" w:sz="4" w:space="0" w:color="auto"/>
              <w:right w:val="single" w:sz="4" w:space="0" w:color="auto"/>
            </w:tcBorders>
            <w:shd w:val="clear" w:color="auto" w:fill="FFFFFF"/>
            <w:vAlign w:val="center"/>
          </w:tcPr>
          <w:p w:rsidR="00A21829" w:rsidRPr="002D1EA2" w:rsidRDefault="00A21829" w:rsidP="000236E4">
            <w:pPr>
              <w:spacing w:after="135" w:line="240" w:lineRule="auto"/>
              <w:jc w:val="center"/>
              <w:rPr>
                <w:rFonts w:ascii="Times New Roman" w:eastAsia="Times New Roman" w:hAnsi="Times New Roman" w:cs="Times New Roman"/>
                <w:color w:val="333333"/>
                <w:sz w:val="24"/>
                <w:szCs w:val="24"/>
                <w:lang w:eastAsia="uk-UA"/>
              </w:rPr>
            </w:pPr>
          </w:p>
        </w:tc>
      </w:tr>
      <w:tr w:rsidR="00A21829" w:rsidRPr="002D1EA2" w:rsidTr="00A21829">
        <w:trPr>
          <w:gridAfter w:val="1"/>
          <w:wAfter w:w="30" w:type="dxa"/>
        </w:trPr>
        <w:tc>
          <w:tcPr>
            <w:tcW w:w="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6</w:t>
            </w:r>
          </w:p>
        </w:tc>
        <w:tc>
          <w:tcPr>
            <w:tcW w:w="29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Підготовка звітності за результатами регулювання</w:t>
            </w:r>
          </w:p>
        </w:tc>
        <w:tc>
          <w:tcPr>
            <w:tcW w:w="1275" w:type="dxa"/>
            <w:tcBorders>
              <w:left w:val="single" w:sz="4" w:space="0" w:color="auto"/>
              <w:bottom w:val="single" w:sz="4" w:space="0" w:color="auto"/>
              <w:right w:val="single" w:sz="4"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0,1</w:t>
            </w:r>
          </w:p>
        </w:tc>
        <w:tc>
          <w:tcPr>
            <w:tcW w:w="1560" w:type="dxa"/>
            <w:tcBorders>
              <w:left w:val="single" w:sz="4" w:space="0" w:color="auto"/>
              <w:bottom w:val="single" w:sz="4" w:space="0" w:color="auto"/>
              <w:right w:val="single" w:sz="4"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28,31</w:t>
            </w:r>
          </w:p>
        </w:tc>
        <w:tc>
          <w:tcPr>
            <w:tcW w:w="1134" w:type="dxa"/>
            <w:tcBorders>
              <w:left w:val="single" w:sz="4" w:space="0" w:color="auto"/>
              <w:bottom w:val="single" w:sz="4" w:space="0" w:color="auto"/>
              <w:right w:val="single" w:sz="4"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1</w:t>
            </w:r>
          </w:p>
        </w:tc>
        <w:tc>
          <w:tcPr>
            <w:tcW w:w="1559" w:type="dxa"/>
            <w:tcBorders>
              <w:left w:val="single" w:sz="4" w:space="0" w:color="auto"/>
              <w:bottom w:val="single" w:sz="4" w:space="0" w:color="auto"/>
              <w:right w:val="single" w:sz="4" w:space="0" w:color="auto"/>
            </w:tcBorders>
            <w:shd w:val="clear" w:color="auto" w:fill="FFFFFF"/>
            <w:vAlign w:val="center"/>
            <w:hideMark/>
          </w:tcPr>
          <w:p w:rsidR="004C2FD0" w:rsidRPr="002D1EA2" w:rsidRDefault="00A75D73" w:rsidP="004C2FD0">
            <w:pPr>
              <w:spacing w:after="135"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9</w:t>
            </w:r>
          </w:p>
        </w:tc>
        <w:tc>
          <w:tcPr>
            <w:tcW w:w="1416" w:type="dxa"/>
            <w:tcBorders>
              <w:left w:val="single" w:sz="4" w:space="0" w:color="auto"/>
              <w:bottom w:val="single" w:sz="4" w:space="0" w:color="auto"/>
              <w:right w:val="single" w:sz="4" w:space="0" w:color="auto"/>
            </w:tcBorders>
            <w:shd w:val="clear" w:color="auto" w:fill="FFFFFF"/>
            <w:vAlign w:val="center"/>
            <w:hideMark/>
          </w:tcPr>
          <w:p w:rsidR="004C2FD0" w:rsidRPr="002D1EA2" w:rsidRDefault="00A75D73" w:rsidP="004C2FD0">
            <w:pPr>
              <w:spacing w:after="135"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25,5</w:t>
            </w:r>
          </w:p>
        </w:tc>
      </w:tr>
      <w:tr w:rsidR="00A21829" w:rsidRPr="002D1EA2" w:rsidTr="00A21829">
        <w:trPr>
          <w:gridAfter w:val="1"/>
          <w:wAfter w:w="30" w:type="dxa"/>
          <w:trHeight w:val="526"/>
        </w:trPr>
        <w:tc>
          <w:tcPr>
            <w:tcW w:w="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36E4" w:rsidRPr="002D1EA2" w:rsidRDefault="000236E4"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7</w:t>
            </w:r>
          </w:p>
        </w:tc>
        <w:tc>
          <w:tcPr>
            <w:tcW w:w="29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36E4" w:rsidRPr="002D1EA2" w:rsidRDefault="000236E4"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Разом за рік (рядки 1 + 2 + 3 + 4 + 5 + 6), грн.</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36E4" w:rsidRPr="002D1EA2" w:rsidRDefault="000236E4"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36E4" w:rsidRPr="002D1EA2" w:rsidRDefault="000236E4"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36E4" w:rsidRPr="002D1EA2" w:rsidRDefault="000236E4"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36E4" w:rsidRPr="002D1EA2" w:rsidRDefault="000236E4"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36E4" w:rsidRPr="002D1EA2" w:rsidRDefault="009878DD" w:rsidP="004C2FD0">
            <w:pPr>
              <w:spacing w:after="135"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382,22</w:t>
            </w:r>
          </w:p>
        </w:tc>
      </w:tr>
      <w:tr w:rsidR="00A21829" w:rsidRPr="002D1EA2" w:rsidTr="00A21829">
        <w:trPr>
          <w:gridAfter w:val="1"/>
          <w:wAfter w:w="30" w:type="dxa"/>
          <w:trHeight w:val="163"/>
        </w:trPr>
        <w:tc>
          <w:tcPr>
            <w:tcW w:w="307" w:type="dxa"/>
            <w:tcBorders>
              <w:top w:val="single" w:sz="4" w:space="0" w:color="auto"/>
              <w:right w:val="single" w:sz="4" w:space="0" w:color="auto"/>
            </w:tcBorders>
            <w:shd w:val="clear" w:color="auto" w:fill="FFFFFF"/>
            <w:vAlign w:val="center"/>
          </w:tcPr>
          <w:p w:rsidR="000236E4" w:rsidRPr="002D1EA2" w:rsidRDefault="000236E4" w:rsidP="004C2FD0">
            <w:pPr>
              <w:spacing w:after="135" w:line="240" w:lineRule="auto"/>
              <w:jc w:val="center"/>
              <w:rPr>
                <w:rFonts w:ascii="Times New Roman" w:eastAsia="Times New Roman" w:hAnsi="Times New Roman" w:cs="Times New Roman"/>
                <w:color w:val="333333"/>
                <w:sz w:val="24"/>
                <w:szCs w:val="24"/>
                <w:lang w:eastAsia="uk-UA"/>
              </w:rPr>
            </w:pPr>
          </w:p>
        </w:tc>
        <w:tc>
          <w:tcPr>
            <w:tcW w:w="2961" w:type="dxa"/>
            <w:tcBorders>
              <w:top w:val="single" w:sz="4" w:space="0" w:color="auto"/>
              <w:left w:val="single" w:sz="4" w:space="0" w:color="auto"/>
            </w:tcBorders>
            <w:shd w:val="clear" w:color="auto" w:fill="FFFFFF"/>
            <w:vAlign w:val="center"/>
          </w:tcPr>
          <w:p w:rsidR="000236E4" w:rsidRPr="002D1EA2" w:rsidRDefault="000236E4" w:rsidP="004C2FD0">
            <w:pPr>
              <w:spacing w:after="135" w:line="240" w:lineRule="auto"/>
              <w:rPr>
                <w:rFonts w:ascii="Times New Roman" w:eastAsia="Times New Roman" w:hAnsi="Times New Roman" w:cs="Times New Roman"/>
                <w:color w:val="333333"/>
                <w:sz w:val="24"/>
                <w:szCs w:val="24"/>
                <w:lang w:eastAsia="uk-UA"/>
              </w:rPr>
            </w:pPr>
          </w:p>
        </w:tc>
        <w:tc>
          <w:tcPr>
            <w:tcW w:w="1275" w:type="dxa"/>
            <w:tcBorders>
              <w:top w:val="single" w:sz="4" w:space="0" w:color="auto"/>
            </w:tcBorders>
            <w:shd w:val="clear" w:color="auto" w:fill="FFFFFF"/>
            <w:vAlign w:val="center"/>
          </w:tcPr>
          <w:p w:rsidR="000236E4" w:rsidRPr="002D1EA2" w:rsidRDefault="000236E4" w:rsidP="004C2FD0">
            <w:pPr>
              <w:spacing w:after="135" w:line="240" w:lineRule="auto"/>
              <w:jc w:val="center"/>
              <w:rPr>
                <w:rFonts w:ascii="Times New Roman" w:eastAsia="Times New Roman" w:hAnsi="Times New Roman" w:cs="Times New Roman"/>
                <w:color w:val="333333"/>
                <w:sz w:val="24"/>
                <w:szCs w:val="24"/>
                <w:lang w:eastAsia="uk-UA"/>
              </w:rPr>
            </w:pPr>
          </w:p>
        </w:tc>
        <w:tc>
          <w:tcPr>
            <w:tcW w:w="1560" w:type="dxa"/>
            <w:tcBorders>
              <w:top w:val="single" w:sz="4" w:space="0" w:color="auto"/>
            </w:tcBorders>
            <w:shd w:val="clear" w:color="auto" w:fill="FFFFFF"/>
            <w:vAlign w:val="center"/>
          </w:tcPr>
          <w:p w:rsidR="000236E4" w:rsidRPr="002D1EA2" w:rsidRDefault="000236E4" w:rsidP="004C2FD0">
            <w:pPr>
              <w:spacing w:after="135" w:line="240" w:lineRule="auto"/>
              <w:jc w:val="center"/>
              <w:rPr>
                <w:rFonts w:ascii="Times New Roman" w:eastAsia="Times New Roman" w:hAnsi="Times New Roman" w:cs="Times New Roman"/>
                <w:color w:val="333333"/>
                <w:sz w:val="24"/>
                <w:szCs w:val="24"/>
                <w:lang w:eastAsia="uk-UA"/>
              </w:rPr>
            </w:pPr>
          </w:p>
        </w:tc>
        <w:tc>
          <w:tcPr>
            <w:tcW w:w="1134" w:type="dxa"/>
            <w:tcBorders>
              <w:top w:val="single" w:sz="4" w:space="0" w:color="auto"/>
            </w:tcBorders>
            <w:shd w:val="clear" w:color="auto" w:fill="FFFFFF"/>
            <w:vAlign w:val="center"/>
          </w:tcPr>
          <w:p w:rsidR="000236E4" w:rsidRPr="002D1EA2" w:rsidRDefault="000236E4" w:rsidP="004C2FD0">
            <w:pPr>
              <w:spacing w:after="135" w:line="240" w:lineRule="auto"/>
              <w:jc w:val="center"/>
              <w:rPr>
                <w:rFonts w:ascii="Times New Roman" w:eastAsia="Times New Roman" w:hAnsi="Times New Roman" w:cs="Times New Roman"/>
                <w:color w:val="333333"/>
                <w:sz w:val="24"/>
                <w:szCs w:val="24"/>
                <w:lang w:eastAsia="uk-UA"/>
              </w:rPr>
            </w:pPr>
          </w:p>
        </w:tc>
        <w:tc>
          <w:tcPr>
            <w:tcW w:w="1559" w:type="dxa"/>
            <w:tcBorders>
              <w:top w:val="single" w:sz="4" w:space="0" w:color="auto"/>
            </w:tcBorders>
            <w:shd w:val="clear" w:color="auto" w:fill="FFFFFF"/>
            <w:vAlign w:val="center"/>
          </w:tcPr>
          <w:p w:rsidR="000236E4" w:rsidRPr="002D1EA2" w:rsidRDefault="000236E4" w:rsidP="004C2FD0">
            <w:pPr>
              <w:spacing w:after="135" w:line="240" w:lineRule="auto"/>
              <w:jc w:val="center"/>
              <w:rPr>
                <w:rFonts w:ascii="Times New Roman" w:eastAsia="Times New Roman" w:hAnsi="Times New Roman" w:cs="Times New Roman"/>
                <w:color w:val="333333"/>
                <w:sz w:val="24"/>
                <w:szCs w:val="24"/>
                <w:lang w:eastAsia="uk-UA"/>
              </w:rPr>
            </w:pPr>
          </w:p>
        </w:tc>
        <w:tc>
          <w:tcPr>
            <w:tcW w:w="1416" w:type="dxa"/>
            <w:tcBorders>
              <w:top w:val="single" w:sz="4" w:space="0" w:color="auto"/>
            </w:tcBorders>
            <w:shd w:val="clear" w:color="auto" w:fill="FFFFFF"/>
            <w:vAlign w:val="center"/>
          </w:tcPr>
          <w:p w:rsidR="000236E4" w:rsidRPr="002D1EA2" w:rsidRDefault="000236E4" w:rsidP="004C2FD0">
            <w:pPr>
              <w:spacing w:after="135" w:line="240" w:lineRule="auto"/>
              <w:jc w:val="center"/>
              <w:rPr>
                <w:rFonts w:ascii="Times New Roman" w:eastAsia="Times New Roman" w:hAnsi="Times New Roman" w:cs="Times New Roman"/>
                <w:color w:val="333333"/>
                <w:sz w:val="24"/>
                <w:szCs w:val="24"/>
                <w:lang w:eastAsia="uk-UA"/>
              </w:rPr>
            </w:pPr>
          </w:p>
        </w:tc>
      </w:tr>
    </w:tbl>
    <w:p w:rsidR="004C2FD0" w:rsidRPr="002D1EA2" w:rsidRDefault="004C2FD0" w:rsidP="00AA66A5">
      <w:pPr>
        <w:shd w:val="clear" w:color="auto" w:fill="FFFFFF"/>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r w:rsidRPr="002D1EA2">
        <w:rPr>
          <w:rFonts w:ascii="Times New Roman" w:eastAsia="Times New Roman" w:hAnsi="Times New Roman" w:cs="Times New Roman"/>
          <w:i/>
          <w:iCs/>
          <w:color w:val="333333"/>
          <w:sz w:val="24"/>
          <w:szCs w:val="24"/>
          <w:lang w:eastAsia="uk-UA"/>
        </w:rPr>
        <w:t>*Вартість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і на кількість процедур за рік.</w:t>
      </w:r>
    </w:p>
    <w:p w:rsidR="004C2FD0" w:rsidRPr="002D1EA2" w:rsidRDefault="004C2FD0" w:rsidP="00AA66A5">
      <w:pPr>
        <w:shd w:val="clear" w:color="auto" w:fill="FFFFFF"/>
        <w:spacing w:after="135" w:line="240" w:lineRule="auto"/>
        <w:jc w:val="both"/>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i/>
          <w:iCs/>
          <w:color w:val="333333"/>
          <w:sz w:val="24"/>
          <w:szCs w:val="24"/>
          <w:lang w:eastAsia="uk-UA"/>
        </w:rPr>
        <w:t>**Відповідно до пунктів 1, 3, 6, карти 11 міжгалузевих нормативів чисельності працівників бухгалтерського обліку (Наказ Міністерства праці і соціальної політики України від 26 вересня 2003 року №269 «Міжгалузеві нормативи чисельності працівників бухгалтерського обліку»).</w:t>
      </w:r>
    </w:p>
    <w:p w:rsidR="004C2FD0" w:rsidRPr="002D1EA2" w:rsidRDefault="004C2FD0" w:rsidP="00AA66A5">
      <w:pPr>
        <w:shd w:val="clear" w:color="auto" w:fill="FFFFFF"/>
        <w:spacing w:after="135" w:line="240" w:lineRule="auto"/>
        <w:jc w:val="both"/>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i/>
          <w:iCs/>
          <w:color w:val="333333"/>
          <w:sz w:val="24"/>
          <w:szCs w:val="24"/>
          <w:lang w:eastAsia="uk-UA"/>
        </w:rPr>
        <w:t>***Для розрахунку витрат використовується мінімальний розмір заробітної плати відповідно до ст. 8 Закону України «Про Державний бюджет України на 2020 рік» - мінімальна заробітна плата у 2020 році – 4723,00 грн,   у погодинному розмірі – 28,31 грн.</w:t>
      </w:r>
    </w:p>
    <w:p w:rsidR="004C2FD0" w:rsidRPr="002D1EA2" w:rsidRDefault="004C2FD0" w:rsidP="00AA66A5">
      <w:pPr>
        <w:shd w:val="clear" w:color="auto" w:fill="FFFFFF"/>
        <w:spacing w:after="135" w:line="240" w:lineRule="auto"/>
        <w:ind w:firstLine="708"/>
        <w:jc w:val="both"/>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Під час проведення оцінки впливу на сферу інтересів суб’єктів господарювання великого й середнього підприємництва окремо кількісно визначено витрати, що будуть виникати внаслідок дії регуляторного акта при здійсненні адміністративних процедур щодо виконання регулювання та звітування.</w:t>
      </w:r>
    </w:p>
    <w:p w:rsidR="004C2FD0" w:rsidRPr="002D1EA2" w:rsidRDefault="004C2FD0" w:rsidP="004C2FD0">
      <w:pPr>
        <w:shd w:val="clear" w:color="auto" w:fill="FFFFFF"/>
        <w:spacing w:after="135" w:line="240" w:lineRule="auto"/>
        <w:jc w:val="right"/>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i/>
          <w:iCs/>
          <w:color w:val="333333"/>
          <w:sz w:val="24"/>
          <w:szCs w:val="24"/>
          <w:lang w:eastAsia="uk-UA"/>
        </w:rPr>
        <w:t>Таблиця 2</w:t>
      </w:r>
    </w:p>
    <w:tbl>
      <w:tblPr>
        <w:tblW w:w="485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185"/>
        <w:gridCol w:w="2180"/>
      </w:tblGrid>
      <w:tr w:rsidR="004C2FD0" w:rsidRPr="002D1EA2" w:rsidTr="004C2FD0">
        <w:tc>
          <w:tcPr>
            <w:tcW w:w="15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Сумарні витрати за альтернативами</w:t>
            </w:r>
          </w:p>
        </w:tc>
        <w:tc>
          <w:tcPr>
            <w:tcW w:w="3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Сума витрат,</w:t>
            </w:r>
          </w:p>
          <w:p w:rsidR="004C2FD0" w:rsidRPr="002D1EA2" w:rsidRDefault="004C2FD0" w:rsidP="00FA3C4E">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грн</w:t>
            </w:r>
          </w:p>
        </w:tc>
      </w:tr>
      <w:tr w:rsidR="004C2FD0" w:rsidRPr="002D1EA2" w:rsidTr="004C2FD0">
        <w:tc>
          <w:tcPr>
            <w:tcW w:w="15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Альтернатива 1. Сумарні витрати для суб’єктів господарювання великого й середнього підприємництва </w:t>
            </w:r>
          </w:p>
        </w:tc>
        <w:tc>
          <w:tcPr>
            <w:tcW w:w="3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Відсутні</w:t>
            </w:r>
          </w:p>
        </w:tc>
      </w:tr>
      <w:tr w:rsidR="004C2FD0" w:rsidRPr="002D1EA2" w:rsidTr="004C2FD0">
        <w:tc>
          <w:tcPr>
            <w:tcW w:w="15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C2468C">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lastRenderedPageBreak/>
              <w:t xml:space="preserve">Альтернатива 2. Сумарні витрати для суб’єктів господарювання великого й середнього підприємництва (пункт 16 таблиці 1 «Витрати на одного суб’єкта господарювання великого й середнього підприємництва, які виникають внаслідок дії регуляторного акта» додатка 1 до аналізу регуляторного впливу до </w:t>
            </w:r>
            <w:proofErr w:type="spellStart"/>
            <w:r w:rsidRPr="002D1EA2">
              <w:rPr>
                <w:rFonts w:ascii="Times New Roman" w:eastAsia="Times New Roman" w:hAnsi="Times New Roman" w:cs="Times New Roman"/>
                <w:color w:val="333333"/>
                <w:sz w:val="24"/>
                <w:szCs w:val="24"/>
                <w:lang w:eastAsia="uk-UA"/>
              </w:rPr>
              <w:t>про</w:t>
            </w:r>
            <w:r w:rsidR="00C2468C">
              <w:rPr>
                <w:rFonts w:ascii="Times New Roman" w:eastAsia="Times New Roman" w:hAnsi="Times New Roman" w:cs="Times New Roman"/>
                <w:color w:val="333333"/>
                <w:sz w:val="24"/>
                <w:szCs w:val="24"/>
                <w:lang w:eastAsia="uk-UA"/>
              </w:rPr>
              <w:t>є</w:t>
            </w:r>
            <w:r w:rsidRPr="002D1EA2">
              <w:rPr>
                <w:rFonts w:ascii="Times New Roman" w:eastAsia="Times New Roman" w:hAnsi="Times New Roman" w:cs="Times New Roman"/>
                <w:color w:val="333333"/>
                <w:sz w:val="24"/>
                <w:szCs w:val="24"/>
                <w:lang w:eastAsia="uk-UA"/>
              </w:rPr>
              <w:t>кту</w:t>
            </w:r>
            <w:proofErr w:type="spellEnd"/>
            <w:r w:rsidRPr="002D1EA2">
              <w:rPr>
                <w:rFonts w:ascii="Times New Roman" w:eastAsia="Times New Roman" w:hAnsi="Times New Roman" w:cs="Times New Roman"/>
                <w:color w:val="333333"/>
                <w:sz w:val="24"/>
                <w:szCs w:val="24"/>
                <w:lang w:eastAsia="uk-UA"/>
              </w:rPr>
              <w:t xml:space="preserve"> регуляторного акта – рішення міської</w:t>
            </w:r>
            <w:r w:rsidR="00FA3C4E">
              <w:rPr>
                <w:rFonts w:ascii="Times New Roman" w:eastAsia="Times New Roman" w:hAnsi="Times New Roman" w:cs="Times New Roman"/>
                <w:color w:val="333333"/>
                <w:sz w:val="24"/>
                <w:szCs w:val="24"/>
                <w:lang w:eastAsia="uk-UA"/>
              </w:rPr>
              <w:t xml:space="preserve"> </w:t>
            </w:r>
            <w:r w:rsidRPr="002D1EA2">
              <w:rPr>
                <w:rFonts w:ascii="Times New Roman" w:eastAsia="Times New Roman" w:hAnsi="Times New Roman" w:cs="Times New Roman"/>
                <w:color w:val="333333"/>
                <w:sz w:val="24"/>
                <w:szCs w:val="24"/>
                <w:lang w:eastAsia="uk-UA"/>
              </w:rPr>
              <w:t xml:space="preserve">ради «Про встановлення ставок  </w:t>
            </w:r>
            <w:r w:rsidR="00FA3C4E">
              <w:rPr>
                <w:rFonts w:ascii="Times New Roman" w:eastAsia="Times New Roman" w:hAnsi="Times New Roman" w:cs="Times New Roman"/>
                <w:color w:val="333333"/>
                <w:sz w:val="24"/>
                <w:szCs w:val="24"/>
                <w:lang w:eastAsia="uk-UA"/>
              </w:rPr>
              <w:t>із податку на нерухоме майно</w:t>
            </w:r>
            <w:r w:rsidRPr="002D1EA2">
              <w:rPr>
                <w:rFonts w:ascii="Times New Roman" w:eastAsia="Times New Roman" w:hAnsi="Times New Roman" w:cs="Times New Roman"/>
                <w:color w:val="333333"/>
                <w:sz w:val="24"/>
                <w:szCs w:val="24"/>
                <w:lang w:eastAsia="uk-UA"/>
              </w:rPr>
              <w:t>, відмінне від земельної ділянки»)</w:t>
            </w:r>
          </w:p>
        </w:tc>
        <w:tc>
          <w:tcPr>
            <w:tcW w:w="3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9878DD" w:rsidP="004C2FD0">
            <w:pPr>
              <w:spacing w:after="135"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b/>
                <w:bCs/>
                <w:i/>
                <w:iCs/>
                <w:color w:val="333333"/>
                <w:sz w:val="24"/>
                <w:szCs w:val="24"/>
                <w:lang w:eastAsia="uk-UA"/>
              </w:rPr>
              <w:t>23119088,35</w:t>
            </w:r>
          </w:p>
        </w:tc>
      </w:tr>
      <w:tr w:rsidR="004C2FD0" w:rsidRPr="002D1EA2" w:rsidTr="004C2FD0">
        <w:tc>
          <w:tcPr>
            <w:tcW w:w="15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FA3C4E">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xml:space="preserve">Альтернатива 3. Сумарні витрати для суб’єктів господарювання великого й середнього підприємництва  (пункт  16 таблиці 1 «Витрати на одного суб’єкта господарювання великого й середнього підприємництва, які виникають внаслідок дії регуляторного акта» додатка 1 до аналізу регуляторного впливу до </w:t>
            </w:r>
            <w:proofErr w:type="spellStart"/>
            <w:r w:rsidRPr="002D1EA2">
              <w:rPr>
                <w:rFonts w:ascii="Times New Roman" w:eastAsia="Times New Roman" w:hAnsi="Times New Roman" w:cs="Times New Roman"/>
                <w:color w:val="333333"/>
                <w:sz w:val="24"/>
                <w:szCs w:val="24"/>
                <w:lang w:eastAsia="uk-UA"/>
              </w:rPr>
              <w:t>про</w:t>
            </w:r>
            <w:r w:rsidR="00FA3C4E">
              <w:rPr>
                <w:rFonts w:ascii="Times New Roman" w:eastAsia="Times New Roman" w:hAnsi="Times New Roman" w:cs="Times New Roman"/>
                <w:color w:val="333333"/>
                <w:sz w:val="24"/>
                <w:szCs w:val="24"/>
                <w:lang w:eastAsia="uk-UA"/>
              </w:rPr>
              <w:t>є</w:t>
            </w:r>
            <w:r w:rsidRPr="002D1EA2">
              <w:rPr>
                <w:rFonts w:ascii="Times New Roman" w:eastAsia="Times New Roman" w:hAnsi="Times New Roman" w:cs="Times New Roman"/>
                <w:color w:val="333333"/>
                <w:sz w:val="24"/>
                <w:szCs w:val="24"/>
                <w:lang w:eastAsia="uk-UA"/>
              </w:rPr>
              <w:t>кту</w:t>
            </w:r>
            <w:proofErr w:type="spellEnd"/>
            <w:r w:rsidRPr="002D1EA2">
              <w:rPr>
                <w:rFonts w:ascii="Times New Roman" w:eastAsia="Times New Roman" w:hAnsi="Times New Roman" w:cs="Times New Roman"/>
                <w:color w:val="333333"/>
                <w:sz w:val="24"/>
                <w:szCs w:val="24"/>
                <w:lang w:eastAsia="uk-UA"/>
              </w:rPr>
              <w:t xml:space="preserve"> регуляторного акта – рішення міської</w:t>
            </w:r>
            <w:r w:rsidR="0046296D">
              <w:rPr>
                <w:rFonts w:ascii="Times New Roman" w:eastAsia="Times New Roman" w:hAnsi="Times New Roman" w:cs="Times New Roman"/>
                <w:color w:val="333333"/>
                <w:sz w:val="24"/>
                <w:szCs w:val="24"/>
                <w:lang w:eastAsia="uk-UA"/>
              </w:rPr>
              <w:t xml:space="preserve"> </w:t>
            </w:r>
            <w:r w:rsidRPr="002D1EA2">
              <w:rPr>
                <w:rFonts w:ascii="Times New Roman" w:eastAsia="Times New Roman" w:hAnsi="Times New Roman" w:cs="Times New Roman"/>
                <w:color w:val="333333"/>
                <w:sz w:val="24"/>
                <w:szCs w:val="24"/>
                <w:lang w:eastAsia="uk-UA"/>
              </w:rPr>
              <w:t>ради «</w:t>
            </w:r>
            <w:r w:rsidR="00FA3C4E" w:rsidRPr="002D1EA2">
              <w:rPr>
                <w:rFonts w:ascii="Times New Roman" w:eastAsia="Times New Roman" w:hAnsi="Times New Roman" w:cs="Times New Roman"/>
                <w:color w:val="333333"/>
                <w:sz w:val="24"/>
                <w:szCs w:val="24"/>
                <w:lang w:eastAsia="uk-UA"/>
              </w:rPr>
              <w:t xml:space="preserve">«Про встановлення ставок  </w:t>
            </w:r>
            <w:r w:rsidR="00FA3C4E">
              <w:rPr>
                <w:rFonts w:ascii="Times New Roman" w:eastAsia="Times New Roman" w:hAnsi="Times New Roman" w:cs="Times New Roman"/>
                <w:color w:val="333333"/>
                <w:sz w:val="24"/>
                <w:szCs w:val="24"/>
                <w:lang w:eastAsia="uk-UA"/>
              </w:rPr>
              <w:t>із податку на нерухоме майно</w:t>
            </w:r>
            <w:r w:rsidR="00FA3C4E" w:rsidRPr="002D1EA2">
              <w:rPr>
                <w:rFonts w:ascii="Times New Roman" w:eastAsia="Times New Roman" w:hAnsi="Times New Roman" w:cs="Times New Roman"/>
                <w:color w:val="333333"/>
                <w:sz w:val="24"/>
                <w:szCs w:val="24"/>
                <w:lang w:eastAsia="uk-UA"/>
              </w:rPr>
              <w:t>, відмінне від земельної ділянки»)</w:t>
            </w:r>
          </w:p>
        </w:tc>
        <w:tc>
          <w:tcPr>
            <w:tcW w:w="3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9878DD" w:rsidP="009878DD">
            <w:pPr>
              <w:spacing w:after="135"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b/>
                <w:bCs/>
                <w:i/>
                <w:iCs/>
                <w:color w:val="333333"/>
                <w:sz w:val="24"/>
                <w:szCs w:val="24"/>
                <w:lang w:eastAsia="uk-UA"/>
              </w:rPr>
              <w:t>23119088,35</w:t>
            </w:r>
          </w:p>
        </w:tc>
      </w:tr>
      <w:tr w:rsidR="004C2FD0" w:rsidRPr="002D1EA2" w:rsidTr="004C2FD0">
        <w:tc>
          <w:tcPr>
            <w:tcW w:w="15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FA3C4E">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Альтернатива 4. Сумарні витрати для суб’єктів господарювання великого й середнього підприємництва  (пункт  16 таблиці 1 «Витрати на одного суб’єкта господарювання великого й середнього підприємництва, які виникають внаслідок дії регуляторного акта» додатка 1 до анал</w:t>
            </w:r>
            <w:r w:rsidR="00FA3C4E">
              <w:rPr>
                <w:rFonts w:ascii="Times New Roman" w:eastAsia="Times New Roman" w:hAnsi="Times New Roman" w:cs="Times New Roman"/>
                <w:color w:val="333333"/>
                <w:sz w:val="24"/>
                <w:szCs w:val="24"/>
                <w:lang w:eastAsia="uk-UA"/>
              </w:rPr>
              <w:t xml:space="preserve">ізу регуляторного впливу до </w:t>
            </w:r>
            <w:proofErr w:type="spellStart"/>
            <w:r w:rsidR="00FA3C4E">
              <w:rPr>
                <w:rFonts w:ascii="Times New Roman" w:eastAsia="Times New Roman" w:hAnsi="Times New Roman" w:cs="Times New Roman"/>
                <w:color w:val="333333"/>
                <w:sz w:val="24"/>
                <w:szCs w:val="24"/>
                <w:lang w:eastAsia="uk-UA"/>
              </w:rPr>
              <w:t>проє</w:t>
            </w:r>
            <w:r w:rsidRPr="002D1EA2">
              <w:rPr>
                <w:rFonts w:ascii="Times New Roman" w:eastAsia="Times New Roman" w:hAnsi="Times New Roman" w:cs="Times New Roman"/>
                <w:color w:val="333333"/>
                <w:sz w:val="24"/>
                <w:szCs w:val="24"/>
                <w:lang w:eastAsia="uk-UA"/>
              </w:rPr>
              <w:t>кту</w:t>
            </w:r>
            <w:proofErr w:type="spellEnd"/>
            <w:r w:rsidRPr="002D1EA2">
              <w:rPr>
                <w:rFonts w:ascii="Times New Roman" w:eastAsia="Times New Roman" w:hAnsi="Times New Roman" w:cs="Times New Roman"/>
                <w:color w:val="333333"/>
                <w:sz w:val="24"/>
                <w:szCs w:val="24"/>
                <w:lang w:eastAsia="uk-UA"/>
              </w:rPr>
              <w:t xml:space="preserve"> регуляторного акта – рішення міської</w:t>
            </w:r>
            <w:r w:rsidR="009878DD">
              <w:rPr>
                <w:rFonts w:ascii="Times New Roman" w:eastAsia="Times New Roman" w:hAnsi="Times New Roman" w:cs="Times New Roman"/>
                <w:color w:val="333333"/>
                <w:sz w:val="24"/>
                <w:szCs w:val="24"/>
                <w:lang w:eastAsia="uk-UA"/>
              </w:rPr>
              <w:t xml:space="preserve"> </w:t>
            </w:r>
            <w:r w:rsidRPr="002D1EA2">
              <w:rPr>
                <w:rFonts w:ascii="Times New Roman" w:eastAsia="Times New Roman" w:hAnsi="Times New Roman" w:cs="Times New Roman"/>
                <w:color w:val="333333"/>
                <w:sz w:val="24"/>
                <w:szCs w:val="24"/>
                <w:lang w:eastAsia="uk-UA"/>
              </w:rPr>
              <w:t>ради «</w:t>
            </w:r>
            <w:r w:rsidR="00FA3C4E" w:rsidRPr="002D1EA2">
              <w:rPr>
                <w:rFonts w:ascii="Times New Roman" w:eastAsia="Times New Roman" w:hAnsi="Times New Roman" w:cs="Times New Roman"/>
                <w:color w:val="333333"/>
                <w:sz w:val="24"/>
                <w:szCs w:val="24"/>
                <w:lang w:eastAsia="uk-UA"/>
              </w:rPr>
              <w:t xml:space="preserve">Про встановлення ставок  </w:t>
            </w:r>
            <w:r w:rsidR="00FA3C4E">
              <w:rPr>
                <w:rFonts w:ascii="Times New Roman" w:eastAsia="Times New Roman" w:hAnsi="Times New Roman" w:cs="Times New Roman"/>
                <w:color w:val="333333"/>
                <w:sz w:val="24"/>
                <w:szCs w:val="24"/>
                <w:lang w:eastAsia="uk-UA"/>
              </w:rPr>
              <w:t>із податку на нерухоме майно</w:t>
            </w:r>
            <w:r w:rsidR="00FA3C4E" w:rsidRPr="002D1EA2">
              <w:rPr>
                <w:rFonts w:ascii="Times New Roman" w:eastAsia="Times New Roman" w:hAnsi="Times New Roman" w:cs="Times New Roman"/>
                <w:color w:val="333333"/>
                <w:sz w:val="24"/>
                <w:szCs w:val="24"/>
                <w:lang w:eastAsia="uk-UA"/>
              </w:rPr>
              <w:t>, відмінне від земельної ділянки»)</w:t>
            </w:r>
            <w:r w:rsidR="00FA3C4E">
              <w:rPr>
                <w:rFonts w:ascii="Times New Roman" w:eastAsia="Times New Roman" w:hAnsi="Times New Roman" w:cs="Times New Roman"/>
                <w:color w:val="333333"/>
                <w:sz w:val="24"/>
                <w:szCs w:val="24"/>
                <w:lang w:eastAsia="uk-UA"/>
              </w:rPr>
              <w:t>.</w:t>
            </w:r>
          </w:p>
        </w:tc>
        <w:tc>
          <w:tcPr>
            <w:tcW w:w="3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9878DD" w:rsidP="009878DD">
            <w:pPr>
              <w:spacing w:after="135"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b/>
                <w:bCs/>
                <w:i/>
                <w:iCs/>
                <w:color w:val="333333"/>
                <w:sz w:val="24"/>
                <w:szCs w:val="24"/>
                <w:lang w:eastAsia="uk-UA"/>
              </w:rPr>
              <w:t>23119088,35</w:t>
            </w:r>
          </w:p>
        </w:tc>
      </w:tr>
    </w:tbl>
    <w:p w:rsidR="004C2FD0" w:rsidRPr="002D1EA2" w:rsidRDefault="004C2FD0" w:rsidP="004C2FD0">
      <w:pPr>
        <w:shd w:val="clear" w:color="auto" w:fill="FFFFFF"/>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p w:rsidR="004C2FD0" w:rsidRPr="002D1EA2" w:rsidRDefault="004C2FD0" w:rsidP="009878DD">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Витрати суб’єктів господарювання великого й середнього підприємництва, що виникають внаслідок дії регуляторного акта, не будуть відрізнятися</w:t>
      </w:r>
      <w:r w:rsidR="009878DD">
        <w:rPr>
          <w:rFonts w:ascii="Times New Roman" w:eastAsia="Times New Roman" w:hAnsi="Times New Roman" w:cs="Times New Roman"/>
          <w:color w:val="333333"/>
          <w:sz w:val="24"/>
          <w:szCs w:val="24"/>
          <w:lang w:eastAsia="uk-UA"/>
        </w:rPr>
        <w:t xml:space="preserve"> </w:t>
      </w:r>
      <w:r w:rsidRPr="002D1EA2">
        <w:rPr>
          <w:rFonts w:ascii="Times New Roman" w:eastAsia="Times New Roman" w:hAnsi="Times New Roman" w:cs="Times New Roman"/>
          <w:color w:val="333333"/>
          <w:sz w:val="24"/>
          <w:szCs w:val="24"/>
          <w:lang w:eastAsia="uk-UA"/>
        </w:rPr>
        <w:t>з урахуванням альтернатив, оскільки податок на нерухоме майно, відмінне від земельної ділянки, не є новим.</w:t>
      </w:r>
    </w:p>
    <w:p w:rsidR="004C2FD0" w:rsidRPr="002D1EA2" w:rsidRDefault="004C2FD0" w:rsidP="009878DD">
      <w:pPr>
        <w:shd w:val="clear" w:color="auto" w:fill="FFFFFF"/>
        <w:spacing w:after="135" w:line="240" w:lineRule="auto"/>
        <w:ind w:firstLine="708"/>
        <w:jc w:val="both"/>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xml:space="preserve">Розрахунок витрат суб’єктів господарювання на сплату податку за 1 кв. м житлової та/або нежитлової нерухомості, що перебуває у їх власності, наведено в  аналізі регуляторного впливу </w:t>
      </w:r>
      <w:proofErr w:type="spellStart"/>
      <w:r w:rsidRPr="002D1EA2">
        <w:rPr>
          <w:rFonts w:ascii="Times New Roman" w:eastAsia="Times New Roman" w:hAnsi="Times New Roman" w:cs="Times New Roman"/>
          <w:color w:val="333333"/>
          <w:sz w:val="24"/>
          <w:szCs w:val="24"/>
          <w:lang w:eastAsia="uk-UA"/>
        </w:rPr>
        <w:t>про</w:t>
      </w:r>
      <w:r w:rsidR="009878DD">
        <w:rPr>
          <w:rFonts w:ascii="Times New Roman" w:eastAsia="Times New Roman" w:hAnsi="Times New Roman" w:cs="Times New Roman"/>
          <w:color w:val="333333"/>
          <w:sz w:val="24"/>
          <w:szCs w:val="24"/>
          <w:lang w:eastAsia="uk-UA"/>
        </w:rPr>
        <w:t>є</w:t>
      </w:r>
      <w:r w:rsidRPr="002D1EA2">
        <w:rPr>
          <w:rFonts w:ascii="Times New Roman" w:eastAsia="Times New Roman" w:hAnsi="Times New Roman" w:cs="Times New Roman"/>
          <w:color w:val="333333"/>
          <w:sz w:val="24"/>
          <w:szCs w:val="24"/>
          <w:lang w:eastAsia="uk-UA"/>
        </w:rPr>
        <w:t>кту</w:t>
      </w:r>
      <w:proofErr w:type="spellEnd"/>
      <w:r w:rsidRPr="002D1EA2">
        <w:rPr>
          <w:rFonts w:ascii="Times New Roman" w:eastAsia="Times New Roman" w:hAnsi="Times New Roman" w:cs="Times New Roman"/>
          <w:color w:val="333333"/>
          <w:sz w:val="24"/>
          <w:szCs w:val="24"/>
          <w:lang w:eastAsia="uk-UA"/>
        </w:rPr>
        <w:t xml:space="preserve"> рішення міської ради «Про встановлення ставок зі сплати податку на нерухоме майно, відмінне від земельної ділянки».</w:t>
      </w:r>
    </w:p>
    <w:p w:rsidR="004C2FD0" w:rsidRPr="002D1EA2" w:rsidRDefault="004C2FD0" w:rsidP="009878DD">
      <w:pPr>
        <w:shd w:val="clear" w:color="auto" w:fill="FFFFFF"/>
        <w:spacing w:after="135" w:line="240" w:lineRule="auto"/>
        <w:ind w:left="23" w:firstLine="685"/>
        <w:jc w:val="both"/>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Запропоновані розміри ставок податку забезпечать вико</w:t>
      </w:r>
      <w:r w:rsidR="0046296D">
        <w:rPr>
          <w:rFonts w:ascii="Times New Roman" w:eastAsia="Times New Roman" w:hAnsi="Times New Roman" w:cs="Times New Roman"/>
          <w:color w:val="333333"/>
          <w:sz w:val="24"/>
          <w:szCs w:val="24"/>
          <w:lang w:eastAsia="uk-UA"/>
        </w:rPr>
        <w:t>нання соціально важливих місцевих</w:t>
      </w:r>
      <w:r w:rsidRPr="002D1EA2">
        <w:rPr>
          <w:rFonts w:ascii="Times New Roman" w:eastAsia="Times New Roman" w:hAnsi="Times New Roman" w:cs="Times New Roman"/>
          <w:color w:val="333333"/>
          <w:sz w:val="24"/>
          <w:szCs w:val="24"/>
          <w:lang w:eastAsia="uk-UA"/>
        </w:rPr>
        <w:t xml:space="preserve"> програм, фінансування бюджетної сфери в галузях освіти,  соціального захисту, житлово-комунального та дорожнього господарства, транспорту тощо. </w:t>
      </w:r>
    </w:p>
    <w:p w:rsidR="004C2FD0" w:rsidRPr="002D1EA2" w:rsidRDefault="009878DD" w:rsidP="009878DD">
      <w:pPr>
        <w:shd w:val="clear" w:color="auto" w:fill="FFFFFF"/>
        <w:spacing w:after="135" w:line="240" w:lineRule="auto"/>
        <w:ind w:firstLine="708"/>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В</w:t>
      </w:r>
      <w:r w:rsidR="004C2FD0" w:rsidRPr="002D1EA2">
        <w:rPr>
          <w:rFonts w:ascii="Times New Roman" w:eastAsia="Times New Roman" w:hAnsi="Times New Roman" w:cs="Times New Roman"/>
          <w:color w:val="333333"/>
          <w:sz w:val="24"/>
          <w:szCs w:val="24"/>
          <w:lang w:eastAsia="uk-UA"/>
        </w:rPr>
        <w:t>становлення диференційованих ставок є компенсаторним заходом. У разі встановлення максимально допустимих 1,5%, значно збільшиться податкове навантаження на платників податку.</w:t>
      </w:r>
    </w:p>
    <w:p w:rsidR="004C2FD0" w:rsidRPr="002D1EA2" w:rsidRDefault="004C2FD0" w:rsidP="004C2FD0">
      <w:pPr>
        <w:shd w:val="clear" w:color="auto" w:fill="FFFFFF"/>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p w:rsidR="004C2FD0" w:rsidRPr="002D1EA2" w:rsidRDefault="004C2FD0" w:rsidP="004C2FD0">
      <w:pPr>
        <w:shd w:val="clear" w:color="auto" w:fill="FFFFFF"/>
        <w:spacing w:after="135" w:line="240" w:lineRule="auto"/>
        <w:ind w:left="1835"/>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p w:rsidR="00C2468C" w:rsidRDefault="00C2468C" w:rsidP="004C2FD0">
      <w:pPr>
        <w:shd w:val="clear" w:color="auto" w:fill="FFFFFF"/>
        <w:spacing w:after="135" w:line="240" w:lineRule="auto"/>
        <w:ind w:left="1835"/>
        <w:rPr>
          <w:rFonts w:ascii="Times New Roman" w:eastAsia="Times New Roman" w:hAnsi="Times New Roman" w:cs="Times New Roman"/>
          <w:i/>
          <w:iCs/>
          <w:color w:val="333333"/>
          <w:sz w:val="24"/>
          <w:szCs w:val="24"/>
          <w:lang w:eastAsia="uk-UA"/>
        </w:rPr>
      </w:pPr>
      <w:r>
        <w:rPr>
          <w:rFonts w:ascii="Times New Roman" w:eastAsia="Times New Roman" w:hAnsi="Times New Roman" w:cs="Times New Roman"/>
          <w:i/>
          <w:iCs/>
          <w:color w:val="333333"/>
          <w:sz w:val="24"/>
          <w:szCs w:val="24"/>
          <w:lang w:eastAsia="uk-UA"/>
        </w:rPr>
        <w:t xml:space="preserve">                                                        </w:t>
      </w:r>
    </w:p>
    <w:p w:rsidR="00C2468C" w:rsidRDefault="00C2468C" w:rsidP="004C2FD0">
      <w:pPr>
        <w:shd w:val="clear" w:color="auto" w:fill="FFFFFF"/>
        <w:spacing w:after="135" w:line="240" w:lineRule="auto"/>
        <w:ind w:left="1835"/>
        <w:rPr>
          <w:rFonts w:ascii="Times New Roman" w:eastAsia="Times New Roman" w:hAnsi="Times New Roman" w:cs="Times New Roman"/>
          <w:i/>
          <w:iCs/>
          <w:color w:val="333333"/>
          <w:sz w:val="24"/>
          <w:szCs w:val="24"/>
          <w:lang w:eastAsia="uk-UA"/>
        </w:rPr>
      </w:pPr>
    </w:p>
    <w:p w:rsidR="00C2468C" w:rsidRDefault="00C2468C" w:rsidP="004C2FD0">
      <w:pPr>
        <w:shd w:val="clear" w:color="auto" w:fill="FFFFFF"/>
        <w:spacing w:after="135" w:line="240" w:lineRule="auto"/>
        <w:ind w:left="1835"/>
        <w:rPr>
          <w:rFonts w:ascii="Times New Roman" w:eastAsia="Times New Roman" w:hAnsi="Times New Roman" w:cs="Times New Roman"/>
          <w:i/>
          <w:iCs/>
          <w:color w:val="333333"/>
          <w:sz w:val="24"/>
          <w:szCs w:val="24"/>
          <w:lang w:eastAsia="uk-UA"/>
        </w:rPr>
      </w:pPr>
    </w:p>
    <w:p w:rsidR="00C2468C" w:rsidRDefault="00C2468C" w:rsidP="004C2FD0">
      <w:pPr>
        <w:shd w:val="clear" w:color="auto" w:fill="FFFFFF"/>
        <w:spacing w:after="135" w:line="240" w:lineRule="auto"/>
        <w:ind w:left="1835"/>
        <w:rPr>
          <w:rFonts w:ascii="Times New Roman" w:eastAsia="Times New Roman" w:hAnsi="Times New Roman" w:cs="Times New Roman"/>
          <w:i/>
          <w:iCs/>
          <w:color w:val="333333"/>
          <w:sz w:val="24"/>
          <w:szCs w:val="24"/>
          <w:lang w:eastAsia="uk-UA"/>
        </w:rPr>
      </w:pPr>
    </w:p>
    <w:p w:rsidR="00C2468C" w:rsidRDefault="00C2468C" w:rsidP="004C2FD0">
      <w:pPr>
        <w:shd w:val="clear" w:color="auto" w:fill="FFFFFF"/>
        <w:spacing w:after="135" w:line="240" w:lineRule="auto"/>
        <w:ind w:left="1835"/>
        <w:rPr>
          <w:rFonts w:ascii="Times New Roman" w:eastAsia="Times New Roman" w:hAnsi="Times New Roman" w:cs="Times New Roman"/>
          <w:i/>
          <w:iCs/>
          <w:color w:val="333333"/>
          <w:sz w:val="24"/>
          <w:szCs w:val="24"/>
          <w:lang w:eastAsia="uk-UA"/>
        </w:rPr>
      </w:pPr>
    </w:p>
    <w:p w:rsidR="00C2468C" w:rsidRDefault="00C2468C" w:rsidP="004C2FD0">
      <w:pPr>
        <w:shd w:val="clear" w:color="auto" w:fill="FFFFFF"/>
        <w:spacing w:after="135" w:line="240" w:lineRule="auto"/>
        <w:ind w:left="1835"/>
        <w:rPr>
          <w:rFonts w:ascii="Times New Roman" w:eastAsia="Times New Roman" w:hAnsi="Times New Roman" w:cs="Times New Roman"/>
          <w:i/>
          <w:iCs/>
          <w:color w:val="333333"/>
          <w:sz w:val="24"/>
          <w:szCs w:val="24"/>
          <w:lang w:eastAsia="uk-UA"/>
        </w:rPr>
      </w:pPr>
    </w:p>
    <w:p w:rsidR="00C2468C" w:rsidRDefault="00C2468C" w:rsidP="004C2FD0">
      <w:pPr>
        <w:shd w:val="clear" w:color="auto" w:fill="FFFFFF"/>
        <w:spacing w:after="135" w:line="240" w:lineRule="auto"/>
        <w:ind w:left="1835"/>
        <w:rPr>
          <w:rFonts w:ascii="Times New Roman" w:eastAsia="Times New Roman" w:hAnsi="Times New Roman" w:cs="Times New Roman"/>
          <w:i/>
          <w:iCs/>
          <w:color w:val="333333"/>
          <w:sz w:val="24"/>
          <w:szCs w:val="24"/>
          <w:lang w:eastAsia="uk-UA"/>
        </w:rPr>
      </w:pPr>
    </w:p>
    <w:p w:rsidR="00C2468C" w:rsidRDefault="00C2468C" w:rsidP="004C2FD0">
      <w:pPr>
        <w:shd w:val="clear" w:color="auto" w:fill="FFFFFF"/>
        <w:spacing w:after="135" w:line="240" w:lineRule="auto"/>
        <w:ind w:left="1835"/>
        <w:rPr>
          <w:rFonts w:ascii="Times New Roman" w:eastAsia="Times New Roman" w:hAnsi="Times New Roman" w:cs="Times New Roman"/>
          <w:i/>
          <w:iCs/>
          <w:color w:val="333333"/>
          <w:sz w:val="24"/>
          <w:szCs w:val="24"/>
          <w:lang w:eastAsia="uk-UA"/>
        </w:rPr>
      </w:pPr>
    </w:p>
    <w:p w:rsidR="004C2FD0" w:rsidRPr="002D1EA2" w:rsidRDefault="00C2468C" w:rsidP="004C2FD0">
      <w:pPr>
        <w:shd w:val="clear" w:color="auto" w:fill="FFFFFF"/>
        <w:spacing w:after="135" w:line="240" w:lineRule="auto"/>
        <w:ind w:left="1835"/>
        <w:rPr>
          <w:rFonts w:ascii="Times New Roman" w:eastAsia="Times New Roman" w:hAnsi="Times New Roman" w:cs="Times New Roman"/>
          <w:color w:val="333333"/>
          <w:sz w:val="24"/>
          <w:szCs w:val="24"/>
          <w:lang w:eastAsia="uk-UA"/>
        </w:rPr>
      </w:pPr>
      <w:r>
        <w:rPr>
          <w:rFonts w:ascii="Times New Roman" w:eastAsia="Times New Roman" w:hAnsi="Times New Roman" w:cs="Times New Roman"/>
          <w:i/>
          <w:iCs/>
          <w:color w:val="333333"/>
          <w:sz w:val="24"/>
          <w:szCs w:val="24"/>
          <w:lang w:eastAsia="uk-UA"/>
        </w:rPr>
        <w:lastRenderedPageBreak/>
        <w:t xml:space="preserve">                                                                </w:t>
      </w:r>
      <w:r w:rsidR="004C2FD0" w:rsidRPr="002D1EA2">
        <w:rPr>
          <w:rFonts w:ascii="Times New Roman" w:eastAsia="Times New Roman" w:hAnsi="Times New Roman" w:cs="Times New Roman"/>
          <w:i/>
          <w:iCs/>
          <w:color w:val="333333"/>
          <w:sz w:val="24"/>
          <w:szCs w:val="24"/>
          <w:lang w:eastAsia="uk-UA"/>
        </w:rPr>
        <w:t>Додаток  3</w:t>
      </w:r>
    </w:p>
    <w:p w:rsidR="004C2FD0" w:rsidRPr="002D1EA2" w:rsidRDefault="004C2FD0" w:rsidP="004C2FD0">
      <w:pPr>
        <w:shd w:val="clear" w:color="auto" w:fill="FFFFFF"/>
        <w:spacing w:after="135" w:line="240" w:lineRule="auto"/>
        <w:ind w:left="5664"/>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i/>
          <w:iCs/>
          <w:color w:val="333333"/>
          <w:sz w:val="24"/>
          <w:szCs w:val="24"/>
          <w:lang w:eastAsia="uk-UA"/>
        </w:rPr>
        <w:t xml:space="preserve">до аналізу регуляторного впливу до проекту регуляторного акта </w:t>
      </w:r>
      <w:proofErr w:type="spellStart"/>
      <w:r w:rsidRPr="002D1EA2">
        <w:rPr>
          <w:rFonts w:ascii="Times New Roman" w:eastAsia="Times New Roman" w:hAnsi="Times New Roman" w:cs="Times New Roman"/>
          <w:i/>
          <w:iCs/>
          <w:color w:val="333333"/>
          <w:sz w:val="24"/>
          <w:szCs w:val="24"/>
          <w:lang w:eastAsia="uk-UA"/>
        </w:rPr>
        <w:t>–рішення</w:t>
      </w:r>
      <w:proofErr w:type="spellEnd"/>
      <w:r w:rsidRPr="002D1EA2">
        <w:rPr>
          <w:rFonts w:ascii="Times New Roman" w:eastAsia="Times New Roman" w:hAnsi="Times New Roman" w:cs="Times New Roman"/>
          <w:i/>
          <w:iCs/>
          <w:color w:val="333333"/>
          <w:sz w:val="24"/>
          <w:szCs w:val="24"/>
          <w:lang w:eastAsia="uk-UA"/>
        </w:rPr>
        <w:t xml:space="preserve"> міської ради «Про встановлення ставок та пільг зі сплати податку на нерухоме майно, відмінне від земельної ділянки, на 2021 рік»</w:t>
      </w:r>
    </w:p>
    <w:p w:rsidR="004C2FD0" w:rsidRPr="002D1EA2" w:rsidRDefault="004C2FD0" w:rsidP="004C2FD0">
      <w:pPr>
        <w:shd w:val="clear" w:color="auto" w:fill="FFFFFF"/>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p w:rsidR="004C2FD0" w:rsidRPr="002D1EA2" w:rsidRDefault="004C2FD0" w:rsidP="004C2FD0">
      <w:pPr>
        <w:shd w:val="clear" w:color="auto" w:fill="FFFFFF"/>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ТЕСТ малого підприємництва (М-Тест)</w:t>
      </w:r>
    </w:p>
    <w:p w:rsidR="004C2FD0" w:rsidRPr="002D1EA2" w:rsidRDefault="004C2FD0" w:rsidP="004C2FD0">
      <w:pPr>
        <w:shd w:val="clear" w:color="auto" w:fill="FFFFFF"/>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p w:rsidR="004C2FD0" w:rsidRPr="002D1EA2" w:rsidRDefault="004C2FD0" w:rsidP="004C2FD0">
      <w:pPr>
        <w:shd w:val="clear" w:color="auto" w:fill="FFFFFF"/>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1. Консультації з представниками  мікро- та малого підприємництва щодо оцінки впливу регулювання</w:t>
      </w:r>
    </w:p>
    <w:p w:rsidR="004C2FD0" w:rsidRPr="002D1EA2" w:rsidRDefault="004C2FD0" w:rsidP="004C2FD0">
      <w:pPr>
        <w:shd w:val="clear" w:color="auto" w:fill="FFFFFF"/>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p w:rsidR="004C2FD0" w:rsidRDefault="004C2FD0" w:rsidP="00C2468C">
      <w:pPr>
        <w:shd w:val="clear" w:color="auto" w:fill="FFFFFF"/>
        <w:spacing w:after="135" w:line="240" w:lineRule="auto"/>
        <w:ind w:firstLine="708"/>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ві</w:t>
      </w:r>
      <w:r w:rsidR="0046296D">
        <w:rPr>
          <w:rFonts w:ascii="Times New Roman" w:eastAsia="Times New Roman" w:hAnsi="Times New Roman" w:cs="Times New Roman"/>
          <w:color w:val="333333"/>
          <w:sz w:val="24"/>
          <w:szCs w:val="24"/>
          <w:lang w:eastAsia="uk-UA"/>
        </w:rPr>
        <w:t xml:space="preserve">дповідальними за підготовку </w:t>
      </w:r>
      <w:proofErr w:type="spellStart"/>
      <w:r w:rsidR="0046296D">
        <w:rPr>
          <w:rFonts w:ascii="Times New Roman" w:eastAsia="Times New Roman" w:hAnsi="Times New Roman" w:cs="Times New Roman"/>
          <w:color w:val="333333"/>
          <w:sz w:val="24"/>
          <w:szCs w:val="24"/>
          <w:lang w:eastAsia="uk-UA"/>
        </w:rPr>
        <w:t>проє</w:t>
      </w:r>
      <w:r w:rsidRPr="002D1EA2">
        <w:rPr>
          <w:rFonts w:ascii="Times New Roman" w:eastAsia="Times New Roman" w:hAnsi="Times New Roman" w:cs="Times New Roman"/>
          <w:color w:val="333333"/>
          <w:sz w:val="24"/>
          <w:szCs w:val="24"/>
          <w:lang w:eastAsia="uk-UA"/>
        </w:rPr>
        <w:t>кту</w:t>
      </w:r>
      <w:proofErr w:type="spellEnd"/>
      <w:r w:rsidRPr="002D1EA2">
        <w:rPr>
          <w:rFonts w:ascii="Times New Roman" w:eastAsia="Times New Roman" w:hAnsi="Times New Roman" w:cs="Times New Roman"/>
          <w:color w:val="333333"/>
          <w:sz w:val="24"/>
          <w:szCs w:val="24"/>
          <w:lang w:eastAsia="uk-UA"/>
        </w:rPr>
        <w:t xml:space="preserve"> регуляторного акта (</w:t>
      </w:r>
      <w:r w:rsidR="00C2468C">
        <w:rPr>
          <w:rFonts w:ascii="Times New Roman" w:eastAsia="Times New Roman" w:hAnsi="Times New Roman" w:cs="Times New Roman"/>
          <w:color w:val="333333"/>
          <w:sz w:val="24"/>
          <w:szCs w:val="24"/>
          <w:lang w:eastAsia="uk-UA"/>
        </w:rPr>
        <w:t>березень</w:t>
      </w:r>
      <w:r w:rsidRPr="002D1EA2">
        <w:rPr>
          <w:rFonts w:ascii="Times New Roman" w:eastAsia="Times New Roman" w:hAnsi="Times New Roman" w:cs="Times New Roman"/>
          <w:color w:val="333333"/>
          <w:sz w:val="24"/>
          <w:szCs w:val="24"/>
          <w:lang w:eastAsia="uk-UA"/>
        </w:rPr>
        <w:t xml:space="preserve"> – квітень 2020 року).</w:t>
      </w:r>
    </w:p>
    <w:p w:rsidR="00EF76AD" w:rsidRDefault="00EF76AD" w:rsidP="00EF76AD">
      <w:pPr>
        <w:shd w:val="clear" w:color="auto" w:fill="FFFFFF"/>
        <w:spacing w:after="135" w:line="240" w:lineRule="auto"/>
        <w:jc w:val="right"/>
        <w:rPr>
          <w:rFonts w:ascii="Times New Roman" w:eastAsia="Times New Roman" w:hAnsi="Times New Roman" w:cs="Times New Roman"/>
          <w:i/>
          <w:iCs/>
          <w:color w:val="333333"/>
          <w:sz w:val="24"/>
          <w:szCs w:val="24"/>
          <w:lang w:eastAsia="uk-UA"/>
        </w:rPr>
      </w:pPr>
      <w:r>
        <w:rPr>
          <w:rFonts w:ascii="Times New Roman" w:eastAsia="Times New Roman" w:hAnsi="Times New Roman" w:cs="Times New Roman"/>
          <w:color w:val="333333"/>
          <w:sz w:val="24"/>
          <w:szCs w:val="24"/>
          <w:lang w:eastAsia="uk-UA"/>
        </w:rPr>
        <w:t xml:space="preserve">    </w:t>
      </w:r>
      <w:r w:rsidRPr="002D1EA2">
        <w:rPr>
          <w:rFonts w:ascii="Times New Roman" w:eastAsia="Times New Roman" w:hAnsi="Times New Roman" w:cs="Times New Roman"/>
          <w:i/>
          <w:iCs/>
          <w:color w:val="333333"/>
          <w:sz w:val="24"/>
          <w:szCs w:val="24"/>
          <w:lang w:eastAsia="uk-UA"/>
        </w:rPr>
        <w:t>Таблиця 1</w:t>
      </w:r>
    </w:p>
    <w:p w:rsidR="00EF76AD" w:rsidRDefault="00EF76AD" w:rsidP="004C2FD0">
      <w:pPr>
        <w:shd w:val="clear" w:color="auto" w:fill="FFFFFF"/>
        <w:spacing w:after="135" w:line="240" w:lineRule="auto"/>
        <w:rPr>
          <w:rFonts w:ascii="Times New Roman" w:eastAsia="Times New Roman" w:hAnsi="Times New Roman" w:cs="Times New Roman"/>
          <w:color w:val="333333"/>
          <w:sz w:val="24"/>
          <w:szCs w:val="24"/>
          <w:lang w:eastAsia="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467"/>
        <w:gridCol w:w="3784"/>
        <w:gridCol w:w="1559"/>
        <w:gridCol w:w="2839"/>
      </w:tblGrid>
      <w:tr w:rsidR="00EF76AD" w:rsidRPr="005D374F" w:rsidTr="00DB2889">
        <w:trPr>
          <w:trHeight w:val="1833"/>
          <w:jc w:val="center"/>
        </w:trPr>
        <w:tc>
          <w:tcPr>
            <w:tcW w:w="760" w:type="pct"/>
          </w:tcPr>
          <w:p w:rsidR="00EF76AD" w:rsidRPr="005D374F" w:rsidRDefault="00EF76AD" w:rsidP="00DB2889">
            <w:pPr>
              <w:pStyle w:val="rvps12"/>
              <w:spacing w:before="0" w:beforeAutospacing="0" w:after="0" w:afterAutospacing="0"/>
              <w:contextualSpacing/>
              <w:jc w:val="center"/>
              <w:textAlignment w:val="baseline"/>
              <w:rPr>
                <w:i/>
                <w:sz w:val="22"/>
                <w:szCs w:val="22"/>
                <w:lang w:val="uk-UA"/>
              </w:rPr>
            </w:pPr>
            <w:r w:rsidRPr="005D374F">
              <w:rPr>
                <w:i/>
                <w:sz w:val="22"/>
                <w:szCs w:val="22"/>
                <w:lang w:val="uk-UA"/>
              </w:rPr>
              <w:t>Порядковий номер</w:t>
            </w:r>
          </w:p>
        </w:tc>
        <w:tc>
          <w:tcPr>
            <w:tcW w:w="1961" w:type="pct"/>
          </w:tcPr>
          <w:p w:rsidR="00EF76AD" w:rsidRPr="005D374F" w:rsidRDefault="00EF76AD" w:rsidP="00DB2889">
            <w:pPr>
              <w:pStyle w:val="rvps12"/>
              <w:spacing w:before="0" w:beforeAutospacing="0" w:after="0" w:afterAutospacing="0"/>
              <w:contextualSpacing/>
              <w:jc w:val="center"/>
              <w:textAlignment w:val="baseline"/>
              <w:rPr>
                <w:i/>
                <w:sz w:val="22"/>
                <w:szCs w:val="22"/>
                <w:lang w:val="uk-UA"/>
              </w:rPr>
            </w:pPr>
            <w:r w:rsidRPr="005D374F">
              <w:rPr>
                <w:i/>
                <w:sz w:val="22"/>
                <w:szCs w:val="22"/>
                <w:lang w:val="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808" w:type="pct"/>
          </w:tcPr>
          <w:p w:rsidR="00EF76AD" w:rsidRPr="005D374F" w:rsidRDefault="00EF76AD" w:rsidP="00DB2889">
            <w:pPr>
              <w:pStyle w:val="rvps12"/>
              <w:spacing w:before="0" w:beforeAutospacing="0" w:after="0" w:afterAutospacing="0"/>
              <w:contextualSpacing/>
              <w:jc w:val="center"/>
              <w:textAlignment w:val="baseline"/>
              <w:rPr>
                <w:i/>
                <w:sz w:val="22"/>
                <w:szCs w:val="22"/>
                <w:lang w:val="uk-UA"/>
              </w:rPr>
            </w:pPr>
            <w:r w:rsidRPr="005D374F">
              <w:rPr>
                <w:i/>
                <w:sz w:val="22"/>
                <w:szCs w:val="22"/>
                <w:lang w:val="uk-UA"/>
              </w:rPr>
              <w:t>Кількість учасників консультацій, осіб</w:t>
            </w:r>
          </w:p>
        </w:tc>
        <w:tc>
          <w:tcPr>
            <w:tcW w:w="1471" w:type="pct"/>
          </w:tcPr>
          <w:p w:rsidR="00EF76AD" w:rsidRPr="005D374F" w:rsidRDefault="00EF76AD" w:rsidP="00DB2889">
            <w:pPr>
              <w:pStyle w:val="rvps12"/>
              <w:spacing w:before="0" w:beforeAutospacing="0" w:after="0" w:afterAutospacing="0"/>
              <w:contextualSpacing/>
              <w:jc w:val="center"/>
              <w:textAlignment w:val="baseline"/>
              <w:rPr>
                <w:i/>
                <w:sz w:val="22"/>
                <w:szCs w:val="22"/>
                <w:lang w:val="uk-UA"/>
              </w:rPr>
            </w:pPr>
            <w:r w:rsidRPr="005D374F">
              <w:rPr>
                <w:i/>
                <w:sz w:val="22"/>
                <w:szCs w:val="22"/>
                <w:lang w:val="uk-UA"/>
              </w:rPr>
              <w:t>Основні результати консультацій (опис)</w:t>
            </w:r>
          </w:p>
        </w:tc>
      </w:tr>
      <w:tr w:rsidR="00EF76AD" w:rsidRPr="00FA4605" w:rsidTr="00DB2889">
        <w:trPr>
          <w:cantSplit/>
          <w:trHeight w:val="709"/>
          <w:jc w:val="center"/>
        </w:trPr>
        <w:tc>
          <w:tcPr>
            <w:tcW w:w="760" w:type="pct"/>
          </w:tcPr>
          <w:p w:rsidR="00EF76AD" w:rsidRPr="00FA4605" w:rsidRDefault="00EF76AD" w:rsidP="00DB2889">
            <w:pPr>
              <w:pStyle w:val="rvps12"/>
              <w:spacing w:before="0" w:beforeAutospacing="0" w:after="0" w:afterAutospacing="0"/>
              <w:contextualSpacing/>
              <w:jc w:val="center"/>
              <w:textAlignment w:val="baseline"/>
              <w:rPr>
                <w:lang w:val="uk-UA"/>
              </w:rPr>
            </w:pPr>
            <w:r w:rsidRPr="00FA4605">
              <w:rPr>
                <w:lang w:val="uk-UA"/>
              </w:rPr>
              <w:t>1.</w:t>
            </w:r>
          </w:p>
        </w:tc>
        <w:tc>
          <w:tcPr>
            <w:tcW w:w="1961" w:type="pct"/>
          </w:tcPr>
          <w:p w:rsidR="00EF76AD" w:rsidRPr="00FA4605" w:rsidRDefault="00EF76AD" w:rsidP="00DB2889">
            <w:pPr>
              <w:pStyle w:val="rvps12"/>
              <w:spacing w:before="0" w:beforeAutospacing="0" w:after="0" w:afterAutospacing="0"/>
              <w:contextualSpacing/>
              <w:textAlignment w:val="baseline"/>
              <w:rPr>
                <w:lang w:val="uk-UA"/>
              </w:rPr>
            </w:pPr>
            <w:r w:rsidRPr="00FA4605">
              <w:rPr>
                <w:lang w:val="uk-UA"/>
              </w:rPr>
              <w:t xml:space="preserve">Розробником проведено консультації з представниками малого підприємництва </w:t>
            </w:r>
          </w:p>
        </w:tc>
        <w:tc>
          <w:tcPr>
            <w:tcW w:w="808" w:type="pct"/>
          </w:tcPr>
          <w:p w:rsidR="00EF76AD" w:rsidRPr="00FA4605" w:rsidRDefault="00EF76AD" w:rsidP="00DB2889">
            <w:pPr>
              <w:pStyle w:val="rvps12"/>
              <w:spacing w:before="0" w:beforeAutospacing="0" w:after="0" w:afterAutospacing="0"/>
              <w:contextualSpacing/>
              <w:jc w:val="center"/>
              <w:textAlignment w:val="baseline"/>
              <w:rPr>
                <w:lang w:val="uk-UA"/>
              </w:rPr>
            </w:pPr>
            <w:r>
              <w:rPr>
                <w:lang w:val="uk-UA"/>
              </w:rPr>
              <w:t>8</w:t>
            </w:r>
          </w:p>
        </w:tc>
        <w:tc>
          <w:tcPr>
            <w:tcW w:w="1471" w:type="pct"/>
          </w:tcPr>
          <w:p w:rsidR="00EF76AD" w:rsidRPr="00FA4605" w:rsidRDefault="00EF76AD" w:rsidP="00DB2889">
            <w:pPr>
              <w:pStyle w:val="rvps12"/>
              <w:spacing w:before="0" w:beforeAutospacing="0" w:after="0" w:afterAutospacing="0"/>
              <w:contextualSpacing/>
              <w:textAlignment w:val="baseline"/>
              <w:rPr>
                <w:lang w:val="uk-UA"/>
              </w:rPr>
            </w:pPr>
            <w:r w:rsidRPr="00FA4605">
              <w:rPr>
                <w:lang w:val="uk-UA"/>
              </w:rPr>
              <w:t>Отримання інформації та пропозицій</w:t>
            </w:r>
          </w:p>
        </w:tc>
      </w:tr>
      <w:tr w:rsidR="00EF76AD" w:rsidRPr="00FA4605" w:rsidTr="00DB2889">
        <w:trPr>
          <w:trHeight w:val="493"/>
          <w:jc w:val="center"/>
        </w:trPr>
        <w:tc>
          <w:tcPr>
            <w:tcW w:w="760" w:type="pct"/>
          </w:tcPr>
          <w:p w:rsidR="00EF76AD" w:rsidRPr="00FA4605" w:rsidRDefault="00EF76AD" w:rsidP="00DB2889">
            <w:pPr>
              <w:pStyle w:val="rvps12"/>
              <w:spacing w:before="0" w:beforeAutospacing="0" w:after="0" w:afterAutospacing="0"/>
              <w:contextualSpacing/>
              <w:jc w:val="center"/>
              <w:textAlignment w:val="baseline"/>
              <w:rPr>
                <w:lang w:val="uk-UA"/>
              </w:rPr>
            </w:pPr>
            <w:r w:rsidRPr="00FA4605">
              <w:rPr>
                <w:lang w:val="uk-UA"/>
              </w:rPr>
              <w:t>2.</w:t>
            </w:r>
          </w:p>
        </w:tc>
        <w:tc>
          <w:tcPr>
            <w:tcW w:w="1961" w:type="pct"/>
          </w:tcPr>
          <w:p w:rsidR="00EF76AD" w:rsidRPr="00FA4605" w:rsidRDefault="00EF76AD" w:rsidP="00DB2889">
            <w:pPr>
              <w:pStyle w:val="rvps12"/>
              <w:spacing w:before="0" w:beforeAutospacing="0" w:after="0" w:afterAutospacing="0"/>
              <w:contextualSpacing/>
              <w:textAlignment w:val="baseline"/>
              <w:rPr>
                <w:lang w:val="uk-UA"/>
              </w:rPr>
            </w:pPr>
            <w:r w:rsidRPr="00FA4605">
              <w:rPr>
                <w:lang w:val="uk-UA"/>
              </w:rPr>
              <w:t>Телефонні розмови</w:t>
            </w:r>
          </w:p>
        </w:tc>
        <w:tc>
          <w:tcPr>
            <w:tcW w:w="808" w:type="pct"/>
          </w:tcPr>
          <w:p w:rsidR="00EF76AD" w:rsidRPr="00FA4605" w:rsidRDefault="00EF76AD" w:rsidP="00DB2889">
            <w:pPr>
              <w:pStyle w:val="rvps12"/>
              <w:spacing w:before="0" w:beforeAutospacing="0" w:after="0" w:afterAutospacing="0"/>
              <w:contextualSpacing/>
              <w:jc w:val="center"/>
              <w:textAlignment w:val="baseline"/>
              <w:rPr>
                <w:lang w:val="uk-UA"/>
              </w:rPr>
            </w:pPr>
            <w:r w:rsidRPr="00FA4605">
              <w:rPr>
                <w:lang w:val="uk-UA"/>
              </w:rPr>
              <w:t>7</w:t>
            </w:r>
          </w:p>
        </w:tc>
        <w:tc>
          <w:tcPr>
            <w:tcW w:w="1471" w:type="pct"/>
          </w:tcPr>
          <w:p w:rsidR="00EF76AD" w:rsidRPr="00FA4605" w:rsidRDefault="00EF76AD" w:rsidP="00DB2889">
            <w:pPr>
              <w:pStyle w:val="rvps12"/>
              <w:spacing w:before="0" w:beforeAutospacing="0" w:after="0" w:afterAutospacing="0"/>
              <w:contextualSpacing/>
              <w:textAlignment w:val="baseline"/>
              <w:rPr>
                <w:lang w:val="uk-UA"/>
              </w:rPr>
            </w:pPr>
            <w:r w:rsidRPr="00FA4605">
              <w:rPr>
                <w:lang w:val="uk-UA"/>
              </w:rPr>
              <w:t>Отримання інформації та пропозицій</w:t>
            </w:r>
          </w:p>
        </w:tc>
      </w:tr>
      <w:tr w:rsidR="00EF76AD" w:rsidRPr="00FA4605" w:rsidTr="00DB2889">
        <w:trPr>
          <w:trHeight w:val="493"/>
          <w:jc w:val="center"/>
        </w:trPr>
        <w:tc>
          <w:tcPr>
            <w:tcW w:w="760" w:type="pct"/>
          </w:tcPr>
          <w:p w:rsidR="00EF76AD" w:rsidRPr="00FA4605" w:rsidRDefault="00EF76AD" w:rsidP="00DB2889">
            <w:pPr>
              <w:pStyle w:val="rvps12"/>
              <w:spacing w:before="0" w:beforeAutospacing="0" w:after="0" w:afterAutospacing="0"/>
              <w:contextualSpacing/>
              <w:jc w:val="center"/>
              <w:textAlignment w:val="baseline"/>
              <w:rPr>
                <w:lang w:val="uk-UA"/>
              </w:rPr>
            </w:pPr>
            <w:r w:rsidRPr="00FA4605">
              <w:rPr>
                <w:lang w:val="uk-UA"/>
              </w:rPr>
              <w:t>3.</w:t>
            </w:r>
          </w:p>
        </w:tc>
        <w:tc>
          <w:tcPr>
            <w:tcW w:w="1961" w:type="pct"/>
          </w:tcPr>
          <w:p w:rsidR="00EF76AD" w:rsidRPr="00FA4605" w:rsidRDefault="00EF76AD" w:rsidP="00DB2889">
            <w:pPr>
              <w:pStyle w:val="rvps12"/>
              <w:spacing w:before="0" w:beforeAutospacing="0" w:after="0" w:afterAutospacing="0"/>
              <w:contextualSpacing/>
              <w:textAlignment w:val="baseline"/>
              <w:rPr>
                <w:lang w:val="uk-UA"/>
              </w:rPr>
            </w:pPr>
            <w:r w:rsidRPr="00FA4605">
              <w:rPr>
                <w:lang w:val="uk-UA"/>
              </w:rPr>
              <w:t>Особиста співбесіда</w:t>
            </w:r>
          </w:p>
        </w:tc>
        <w:tc>
          <w:tcPr>
            <w:tcW w:w="808" w:type="pct"/>
          </w:tcPr>
          <w:p w:rsidR="00EF76AD" w:rsidRPr="00FA4605" w:rsidRDefault="00EF76AD" w:rsidP="00DB2889">
            <w:pPr>
              <w:pStyle w:val="rvps12"/>
              <w:spacing w:before="0" w:beforeAutospacing="0" w:after="0" w:afterAutospacing="0"/>
              <w:contextualSpacing/>
              <w:jc w:val="center"/>
              <w:textAlignment w:val="baseline"/>
              <w:rPr>
                <w:lang w:val="uk-UA"/>
              </w:rPr>
            </w:pPr>
            <w:r>
              <w:rPr>
                <w:lang w:val="uk-UA"/>
              </w:rPr>
              <w:t>11</w:t>
            </w:r>
          </w:p>
        </w:tc>
        <w:tc>
          <w:tcPr>
            <w:tcW w:w="1471" w:type="pct"/>
          </w:tcPr>
          <w:p w:rsidR="00EF76AD" w:rsidRPr="00FA4605" w:rsidRDefault="00EF76AD" w:rsidP="00DB2889">
            <w:pPr>
              <w:pStyle w:val="rvps12"/>
              <w:spacing w:before="0" w:beforeAutospacing="0" w:after="0" w:afterAutospacing="0"/>
              <w:contextualSpacing/>
              <w:textAlignment w:val="baseline"/>
              <w:rPr>
                <w:lang w:val="uk-UA"/>
              </w:rPr>
            </w:pPr>
            <w:r w:rsidRPr="00FA4605">
              <w:rPr>
                <w:lang w:val="uk-UA"/>
              </w:rPr>
              <w:t>Отримання інформації та пропозицій</w:t>
            </w:r>
          </w:p>
        </w:tc>
      </w:tr>
    </w:tbl>
    <w:p w:rsidR="00EF76AD" w:rsidRPr="002D1EA2" w:rsidRDefault="00EF76AD" w:rsidP="004C2FD0">
      <w:pPr>
        <w:shd w:val="clear" w:color="auto" w:fill="FFFFFF"/>
        <w:spacing w:after="135" w:line="240" w:lineRule="auto"/>
        <w:rPr>
          <w:rFonts w:ascii="Times New Roman" w:eastAsia="Times New Roman" w:hAnsi="Times New Roman" w:cs="Times New Roman"/>
          <w:color w:val="333333"/>
          <w:sz w:val="24"/>
          <w:szCs w:val="24"/>
          <w:lang w:eastAsia="uk-UA"/>
        </w:rPr>
      </w:pPr>
    </w:p>
    <w:p w:rsidR="004C2FD0" w:rsidRPr="002D1EA2" w:rsidRDefault="004C2FD0" w:rsidP="00C2468C">
      <w:pPr>
        <w:shd w:val="clear" w:color="auto" w:fill="FFFFFF"/>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p w:rsidR="004C2FD0" w:rsidRPr="002D1EA2" w:rsidRDefault="004C2FD0" w:rsidP="004C2FD0">
      <w:pPr>
        <w:shd w:val="clear" w:color="auto" w:fill="FFFFFF"/>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2. Вимірювання впливу регулювання на суб’єктів малого</w:t>
      </w:r>
    </w:p>
    <w:p w:rsidR="004C2FD0" w:rsidRPr="002D1EA2" w:rsidRDefault="004C2FD0" w:rsidP="004C2FD0">
      <w:pPr>
        <w:shd w:val="clear" w:color="auto" w:fill="FFFFFF"/>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підприємництва (мікро- та малі)</w:t>
      </w:r>
    </w:p>
    <w:p w:rsidR="004C2FD0" w:rsidRPr="002D1EA2" w:rsidRDefault="004C2FD0" w:rsidP="004013D8">
      <w:pPr>
        <w:shd w:val="clear" w:color="auto" w:fill="FFFFFF"/>
        <w:spacing w:after="135" w:line="240" w:lineRule="auto"/>
        <w:ind w:firstLine="708"/>
        <w:jc w:val="both"/>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xml:space="preserve">Розрахункова чисельність суб’єктів малого підприємництва, на яких поширюється регулювання: </w:t>
      </w:r>
      <w:r w:rsidR="004013D8">
        <w:rPr>
          <w:rFonts w:ascii="Times New Roman" w:eastAsia="Times New Roman" w:hAnsi="Times New Roman" w:cs="Times New Roman"/>
          <w:color w:val="333333"/>
          <w:sz w:val="24"/>
          <w:szCs w:val="24"/>
          <w:lang w:eastAsia="uk-UA"/>
        </w:rPr>
        <w:t>697</w:t>
      </w:r>
      <w:r w:rsidRPr="002D1EA2">
        <w:rPr>
          <w:rFonts w:ascii="Times New Roman" w:eastAsia="Times New Roman" w:hAnsi="Times New Roman" w:cs="Times New Roman"/>
          <w:color w:val="333333"/>
          <w:sz w:val="24"/>
          <w:szCs w:val="24"/>
          <w:lang w:eastAsia="uk-UA"/>
        </w:rPr>
        <w:t xml:space="preserve"> осіб</w:t>
      </w:r>
      <w:r w:rsidR="004013D8">
        <w:rPr>
          <w:rFonts w:ascii="Times New Roman" w:eastAsia="Times New Roman" w:hAnsi="Times New Roman" w:cs="Times New Roman"/>
          <w:color w:val="333333"/>
          <w:sz w:val="24"/>
          <w:szCs w:val="24"/>
          <w:lang w:eastAsia="uk-UA"/>
        </w:rPr>
        <w:t>.</w:t>
      </w:r>
    </w:p>
    <w:p w:rsidR="004C2FD0" w:rsidRPr="002D1EA2" w:rsidRDefault="004C2FD0" w:rsidP="004013D8">
      <w:pPr>
        <w:shd w:val="clear" w:color="auto" w:fill="FFFFFF"/>
        <w:spacing w:after="135" w:line="240" w:lineRule="auto"/>
        <w:jc w:val="both"/>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r w:rsidR="004013D8">
        <w:rPr>
          <w:rFonts w:ascii="Times New Roman" w:eastAsia="Times New Roman" w:hAnsi="Times New Roman" w:cs="Times New Roman"/>
          <w:color w:val="333333"/>
          <w:sz w:val="24"/>
          <w:szCs w:val="24"/>
          <w:lang w:eastAsia="uk-UA"/>
        </w:rPr>
        <w:tab/>
      </w:r>
      <w:r w:rsidRPr="002D1EA2">
        <w:rPr>
          <w:rFonts w:ascii="Times New Roman" w:eastAsia="Times New Roman" w:hAnsi="Times New Roman" w:cs="Times New Roman"/>
          <w:color w:val="333333"/>
          <w:sz w:val="24"/>
          <w:szCs w:val="24"/>
          <w:lang w:eastAsia="uk-UA"/>
        </w:rPr>
        <w:t>Питома вага суб’єктів малого підприємництва, на яких справляє вплив дія запропонованого регулювання, у загальній кількості суб’єктів господарювання становить  </w:t>
      </w:r>
      <w:r w:rsidR="004013D8">
        <w:rPr>
          <w:rFonts w:ascii="Times New Roman" w:eastAsia="Times New Roman" w:hAnsi="Times New Roman" w:cs="Times New Roman"/>
          <w:color w:val="333333"/>
          <w:sz w:val="24"/>
          <w:szCs w:val="24"/>
          <w:lang w:eastAsia="uk-UA"/>
        </w:rPr>
        <w:t>76,4</w:t>
      </w:r>
      <w:r w:rsidRPr="002D1EA2">
        <w:rPr>
          <w:rFonts w:ascii="Times New Roman" w:eastAsia="Times New Roman" w:hAnsi="Times New Roman" w:cs="Times New Roman"/>
          <w:color w:val="333333"/>
          <w:sz w:val="24"/>
          <w:szCs w:val="24"/>
          <w:lang w:eastAsia="uk-UA"/>
        </w:rPr>
        <w:t>%.</w:t>
      </w:r>
      <w:r w:rsidR="004013D8">
        <w:rPr>
          <w:rFonts w:ascii="Times New Roman" w:eastAsia="Times New Roman" w:hAnsi="Times New Roman" w:cs="Times New Roman"/>
          <w:color w:val="333333"/>
          <w:sz w:val="24"/>
          <w:szCs w:val="24"/>
          <w:lang w:eastAsia="uk-UA"/>
        </w:rPr>
        <w:t xml:space="preserve"> </w:t>
      </w:r>
      <w:r w:rsidRPr="002D1EA2">
        <w:rPr>
          <w:rFonts w:ascii="Times New Roman" w:eastAsia="Times New Roman" w:hAnsi="Times New Roman" w:cs="Times New Roman"/>
          <w:color w:val="333333"/>
          <w:sz w:val="24"/>
          <w:szCs w:val="24"/>
          <w:lang w:eastAsia="uk-UA"/>
        </w:rPr>
        <w:t xml:space="preserve">Регуляторний акт поширюється на суб’єктів господарювання, які перебувають на обліку в фіскальних органах інших областей України, але мають об’єкти нерухомості на території </w:t>
      </w:r>
      <w:r w:rsidR="004013D8">
        <w:rPr>
          <w:rFonts w:ascii="Times New Roman" w:eastAsia="Times New Roman" w:hAnsi="Times New Roman" w:cs="Times New Roman"/>
          <w:color w:val="333333"/>
          <w:sz w:val="24"/>
          <w:szCs w:val="24"/>
          <w:lang w:eastAsia="uk-UA"/>
        </w:rPr>
        <w:t>Луцької міської територіальної громади</w:t>
      </w:r>
      <w:r w:rsidRPr="002D1EA2">
        <w:rPr>
          <w:rFonts w:ascii="Times New Roman" w:eastAsia="Times New Roman" w:hAnsi="Times New Roman" w:cs="Times New Roman"/>
          <w:color w:val="333333"/>
          <w:sz w:val="24"/>
          <w:szCs w:val="24"/>
          <w:lang w:eastAsia="uk-UA"/>
        </w:rPr>
        <w:t>.</w:t>
      </w:r>
    </w:p>
    <w:p w:rsidR="004C2FD0" w:rsidRPr="002D1EA2" w:rsidRDefault="004C2FD0" w:rsidP="004C2FD0">
      <w:pPr>
        <w:shd w:val="clear" w:color="auto" w:fill="FFFFFF"/>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p w:rsidR="004C2FD0" w:rsidRPr="002D1EA2" w:rsidRDefault="004C2FD0" w:rsidP="004C2FD0">
      <w:pPr>
        <w:shd w:val="clear" w:color="auto" w:fill="FFFFFF"/>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lastRenderedPageBreak/>
        <w:t>3. Розрахунок витрат суб’єктів малого підприємництва</w:t>
      </w:r>
    </w:p>
    <w:p w:rsidR="004C2FD0" w:rsidRPr="002D1EA2" w:rsidRDefault="004C2FD0" w:rsidP="004C2FD0">
      <w:pPr>
        <w:shd w:val="clear" w:color="auto" w:fill="FFFFFF"/>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на виконання вимог регулювання</w:t>
      </w:r>
    </w:p>
    <w:p w:rsidR="004C2FD0" w:rsidRPr="002D1EA2" w:rsidRDefault="004C2FD0" w:rsidP="004C2FD0">
      <w:pPr>
        <w:shd w:val="clear" w:color="auto" w:fill="FFFFFF"/>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p w:rsidR="004C2FD0" w:rsidRPr="002D1EA2" w:rsidRDefault="004C2FD0" w:rsidP="004C2FD0">
      <w:pPr>
        <w:shd w:val="clear" w:color="auto" w:fill="FFFFFF"/>
        <w:spacing w:after="135" w:line="240" w:lineRule="auto"/>
        <w:jc w:val="right"/>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i/>
          <w:iCs/>
          <w:color w:val="333333"/>
          <w:sz w:val="24"/>
          <w:szCs w:val="24"/>
          <w:lang w:eastAsia="uk-UA"/>
        </w:rPr>
        <w:t>Таблиця2</w:t>
      </w:r>
    </w:p>
    <w:tbl>
      <w:tblPr>
        <w:tblW w:w="485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68"/>
        <w:gridCol w:w="5570"/>
        <w:gridCol w:w="3227"/>
      </w:tblGrid>
      <w:tr w:rsidR="004C2FD0" w:rsidRPr="002D1EA2" w:rsidTr="004C2FD0">
        <w:tc>
          <w:tcPr>
            <w:tcW w:w="11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w:t>
            </w:r>
          </w:p>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з/п</w:t>
            </w:r>
          </w:p>
        </w:tc>
        <w:tc>
          <w:tcPr>
            <w:tcW w:w="12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Витрати</w:t>
            </w:r>
          </w:p>
        </w:tc>
        <w:tc>
          <w:tcPr>
            <w:tcW w:w="5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На 2021  рік</w:t>
            </w:r>
          </w:p>
        </w:tc>
      </w:tr>
      <w:tr w:rsidR="004C2FD0" w:rsidRPr="002D1EA2" w:rsidTr="004C2FD0">
        <w:tc>
          <w:tcPr>
            <w:tcW w:w="11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1</w:t>
            </w:r>
          </w:p>
        </w:tc>
        <w:tc>
          <w:tcPr>
            <w:tcW w:w="12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2</w:t>
            </w:r>
          </w:p>
        </w:tc>
        <w:tc>
          <w:tcPr>
            <w:tcW w:w="5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3</w:t>
            </w:r>
          </w:p>
        </w:tc>
      </w:tr>
      <w:tr w:rsidR="004C2FD0" w:rsidRPr="002D1EA2" w:rsidTr="004C2FD0">
        <w:tc>
          <w:tcPr>
            <w:tcW w:w="1872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Оцінка «прямих» витрат суб’єктів малого підприємництва на виконання регулювання</w:t>
            </w:r>
          </w:p>
        </w:tc>
      </w:tr>
      <w:tr w:rsidR="004C2FD0" w:rsidRPr="002D1EA2" w:rsidTr="004C2FD0">
        <w:tc>
          <w:tcPr>
            <w:tcW w:w="11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1</w:t>
            </w:r>
          </w:p>
        </w:tc>
        <w:tc>
          <w:tcPr>
            <w:tcW w:w="12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Витрати на придбання основних фондів, обладнання  та приладів, сервісне обслуговування, навчання/підвищення кваліфікації персоналу тощо, грн.</w:t>
            </w:r>
          </w:p>
        </w:tc>
        <w:tc>
          <w:tcPr>
            <w:tcW w:w="5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Цей податок не є новим і  не передбачає витрат на придбання основних фондів, обладнання та приладів, сервісне обслуговування, навчання/підвищення кваліфікації персоналу тощо</w:t>
            </w:r>
          </w:p>
        </w:tc>
      </w:tr>
      <w:tr w:rsidR="004C2FD0" w:rsidRPr="002D1EA2" w:rsidTr="004C2FD0">
        <w:tc>
          <w:tcPr>
            <w:tcW w:w="11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2</w:t>
            </w:r>
          </w:p>
        </w:tc>
        <w:tc>
          <w:tcPr>
            <w:tcW w:w="12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Витрати на отримання адміністративних послуг (дозволів, ліцензій,  сертифікатів,   атестатів,   погоджень,   висновків, проведення незалежних/ обов’язкових експертиз, сертифікації, атестації тощо) та інших послуг (проведення наукових, інших експертиз, страхування тощо), грн.</w:t>
            </w:r>
          </w:p>
        </w:tc>
        <w:tc>
          <w:tcPr>
            <w:tcW w:w="5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Податок не є новим, додаткових витрат не передбачено</w:t>
            </w:r>
          </w:p>
        </w:tc>
      </w:tr>
      <w:tr w:rsidR="004C2FD0" w:rsidRPr="002D1EA2" w:rsidTr="004C2FD0">
        <w:tc>
          <w:tcPr>
            <w:tcW w:w="11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3</w:t>
            </w:r>
          </w:p>
        </w:tc>
        <w:tc>
          <w:tcPr>
            <w:tcW w:w="12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Витрати на оборотні активи (матеріали, канцелярські товари тощо), грн.</w:t>
            </w:r>
          </w:p>
        </w:tc>
        <w:tc>
          <w:tcPr>
            <w:tcW w:w="5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C2468C">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Податок не є новим, додаткових витрат не передбачено </w:t>
            </w:r>
          </w:p>
        </w:tc>
      </w:tr>
      <w:tr w:rsidR="004C2FD0" w:rsidRPr="002D1EA2" w:rsidTr="004C2FD0">
        <w:tc>
          <w:tcPr>
            <w:tcW w:w="11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4</w:t>
            </w:r>
          </w:p>
        </w:tc>
        <w:tc>
          <w:tcPr>
            <w:tcW w:w="12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Витрати, пов’язані з наймом додаткового персоналу, грн.</w:t>
            </w:r>
          </w:p>
        </w:tc>
        <w:tc>
          <w:tcPr>
            <w:tcW w:w="5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C2468C">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Податок не є новим, додаткових витрат не передбачено </w:t>
            </w:r>
          </w:p>
        </w:tc>
      </w:tr>
      <w:tr w:rsidR="004C2FD0" w:rsidRPr="002D1EA2" w:rsidTr="004C2FD0">
        <w:tc>
          <w:tcPr>
            <w:tcW w:w="11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5</w:t>
            </w:r>
          </w:p>
        </w:tc>
        <w:tc>
          <w:tcPr>
            <w:tcW w:w="12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C2468C">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xml:space="preserve">Кількість суб’єктів господарювання малого </w:t>
            </w:r>
            <w:proofErr w:type="spellStart"/>
            <w:r w:rsidRPr="002D1EA2">
              <w:rPr>
                <w:rFonts w:ascii="Times New Roman" w:eastAsia="Times New Roman" w:hAnsi="Times New Roman" w:cs="Times New Roman"/>
                <w:color w:val="333333"/>
                <w:sz w:val="24"/>
                <w:szCs w:val="24"/>
                <w:lang w:eastAsia="uk-UA"/>
              </w:rPr>
              <w:t>підприєм-ництва</w:t>
            </w:r>
            <w:proofErr w:type="spellEnd"/>
            <w:r w:rsidRPr="002D1EA2">
              <w:rPr>
                <w:rFonts w:ascii="Times New Roman" w:eastAsia="Times New Roman" w:hAnsi="Times New Roman" w:cs="Times New Roman"/>
                <w:color w:val="333333"/>
                <w:sz w:val="24"/>
                <w:szCs w:val="24"/>
                <w:lang w:eastAsia="uk-UA"/>
              </w:rPr>
              <w:t>, на яких буде поширено регулювання, одиниць: </w:t>
            </w:r>
          </w:p>
        </w:tc>
        <w:tc>
          <w:tcPr>
            <w:tcW w:w="5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A21829" w:rsidP="004C2FD0">
            <w:pPr>
              <w:spacing w:after="135"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697</w:t>
            </w:r>
          </w:p>
        </w:tc>
      </w:tr>
      <w:tr w:rsidR="004C2FD0" w:rsidRPr="002D1EA2" w:rsidTr="004C2FD0">
        <w:tc>
          <w:tcPr>
            <w:tcW w:w="11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6</w:t>
            </w:r>
          </w:p>
        </w:tc>
        <w:tc>
          <w:tcPr>
            <w:tcW w:w="12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C2468C">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Сплата податку на нерухоме майно, відмінне від земельної ділянки, грн. </w:t>
            </w:r>
          </w:p>
        </w:tc>
        <w:tc>
          <w:tcPr>
            <w:tcW w:w="5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013D8" w:rsidP="004C2FD0">
            <w:pPr>
              <w:spacing w:after="135"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15 310 900</w:t>
            </w:r>
          </w:p>
        </w:tc>
      </w:tr>
      <w:tr w:rsidR="004C2FD0" w:rsidRPr="002D1EA2" w:rsidTr="004C2FD0">
        <w:tc>
          <w:tcPr>
            <w:tcW w:w="11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7</w:t>
            </w:r>
          </w:p>
        </w:tc>
        <w:tc>
          <w:tcPr>
            <w:tcW w:w="12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Сумарні витрати суб’єктів малого господарювання підприємництва, на виконання регулювання (вартість регулювання) /сума рядків 1 + 2 + 3 +  4 + 6/, грн.**</w:t>
            </w:r>
          </w:p>
        </w:tc>
        <w:tc>
          <w:tcPr>
            <w:tcW w:w="5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013D8" w:rsidP="004C2FD0">
            <w:pPr>
              <w:spacing w:after="135"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15 310 900</w:t>
            </w:r>
          </w:p>
        </w:tc>
      </w:tr>
    </w:tbl>
    <w:p w:rsidR="004C2FD0" w:rsidRPr="002D1EA2" w:rsidRDefault="004C2FD0" w:rsidP="004C2FD0">
      <w:pPr>
        <w:shd w:val="clear" w:color="auto" w:fill="FFFFFF"/>
        <w:spacing w:after="135" w:line="240" w:lineRule="auto"/>
        <w:jc w:val="right"/>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tbl>
      <w:tblPr>
        <w:tblW w:w="485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85"/>
        <w:gridCol w:w="5920"/>
        <w:gridCol w:w="2860"/>
      </w:tblGrid>
      <w:tr w:rsidR="004C2FD0" w:rsidRPr="002D1EA2" w:rsidTr="004C2FD0">
        <w:tc>
          <w:tcPr>
            <w:tcW w:w="11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tc>
        <w:tc>
          <w:tcPr>
            <w:tcW w:w="1760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Оцінка вартості адміністративних процедур суб’єктів малого підприємництва щодо виконання регулювання та звітування</w:t>
            </w:r>
          </w:p>
        </w:tc>
      </w:tr>
      <w:tr w:rsidR="004C2FD0" w:rsidRPr="002D1EA2" w:rsidTr="004C2FD0">
        <w:tc>
          <w:tcPr>
            <w:tcW w:w="11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8</w:t>
            </w:r>
          </w:p>
        </w:tc>
        <w:tc>
          <w:tcPr>
            <w:tcW w:w="12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ind w:left="34"/>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Процедури отримання первинної інформації про вимоги регулювання:</w:t>
            </w:r>
          </w:p>
          <w:p w:rsidR="004C2FD0" w:rsidRPr="002D1EA2" w:rsidRDefault="004C2FD0" w:rsidP="004C2FD0">
            <w:pPr>
              <w:spacing w:after="135" w:line="240" w:lineRule="auto"/>
              <w:ind w:left="34"/>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i/>
                <w:iCs/>
                <w:color w:val="333333"/>
                <w:sz w:val="24"/>
                <w:szCs w:val="24"/>
                <w:lang w:eastAsia="uk-UA"/>
              </w:rPr>
              <w:t>Формула:</w:t>
            </w:r>
          </w:p>
          <w:p w:rsidR="004C2FD0" w:rsidRPr="002D1EA2" w:rsidRDefault="004C2FD0" w:rsidP="004C2FD0">
            <w:pPr>
              <w:spacing w:after="135" w:line="240" w:lineRule="auto"/>
              <w:ind w:left="34"/>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i/>
                <w:iCs/>
                <w:color w:val="333333"/>
                <w:sz w:val="24"/>
                <w:szCs w:val="24"/>
                <w:lang w:eastAsia="uk-UA"/>
              </w:rPr>
              <w:t>витрати часу на отримання інформації про регулювання Х вартість часу суб’єкта малого підприємництва (заробітна плата)</w:t>
            </w:r>
          </w:p>
          <w:p w:rsidR="004C2FD0" w:rsidRPr="002D1EA2" w:rsidRDefault="004C2FD0" w:rsidP="00C2468C">
            <w:pPr>
              <w:spacing w:after="135" w:line="240" w:lineRule="auto"/>
              <w:ind w:left="34"/>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lastRenderedPageBreak/>
              <w:t>0,1 год.**х28,31грн **(мінімальна зарплата4 723,00 грн, погодинна – 28,31 грн)= 2,83 грн.</w:t>
            </w:r>
          </w:p>
        </w:tc>
        <w:tc>
          <w:tcPr>
            <w:tcW w:w="5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lastRenderedPageBreak/>
              <w:t>2,83</w:t>
            </w:r>
          </w:p>
        </w:tc>
      </w:tr>
      <w:tr w:rsidR="004C2FD0" w:rsidRPr="002D1EA2" w:rsidTr="004C2FD0">
        <w:tc>
          <w:tcPr>
            <w:tcW w:w="11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lastRenderedPageBreak/>
              <w:t>9</w:t>
            </w:r>
          </w:p>
        </w:tc>
        <w:tc>
          <w:tcPr>
            <w:tcW w:w="12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ind w:left="34"/>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Процедура організації виконання вимог регулювання</w:t>
            </w:r>
          </w:p>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tc>
        <w:tc>
          <w:tcPr>
            <w:tcW w:w="5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Цей податок не є новим та не передбачає витрат на організацію виконання вимог регулювання</w:t>
            </w:r>
          </w:p>
        </w:tc>
      </w:tr>
      <w:tr w:rsidR="004C2FD0" w:rsidRPr="002D1EA2" w:rsidTr="004C2FD0">
        <w:tc>
          <w:tcPr>
            <w:tcW w:w="11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10</w:t>
            </w:r>
          </w:p>
        </w:tc>
        <w:tc>
          <w:tcPr>
            <w:tcW w:w="12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Витрати на оборотні активи (матеріали, канцелярські товари тощо), грн.</w:t>
            </w:r>
          </w:p>
        </w:tc>
        <w:tc>
          <w:tcPr>
            <w:tcW w:w="5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Податок не є новим, додаткових витрат не передбачено</w:t>
            </w:r>
          </w:p>
        </w:tc>
      </w:tr>
      <w:tr w:rsidR="004C2FD0" w:rsidRPr="002D1EA2" w:rsidTr="004C2FD0">
        <w:tc>
          <w:tcPr>
            <w:tcW w:w="11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11</w:t>
            </w:r>
          </w:p>
        </w:tc>
        <w:tc>
          <w:tcPr>
            <w:tcW w:w="12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Процедура офіційного подання юридичними особами декларації зі сплати податку контролюючому органу :</w:t>
            </w:r>
          </w:p>
          <w:p w:rsidR="004C2FD0" w:rsidRPr="002D1EA2" w:rsidRDefault="004C2FD0" w:rsidP="00C2468C">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r w:rsidRPr="002D1EA2">
              <w:rPr>
                <w:rFonts w:ascii="Times New Roman" w:eastAsia="Times New Roman" w:hAnsi="Times New Roman" w:cs="Times New Roman"/>
                <w:i/>
                <w:iCs/>
                <w:color w:val="333333"/>
                <w:sz w:val="24"/>
                <w:szCs w:val="24"/>
                <w:lang w:eastAsia="uk-UA"/>
              </w:rPr>
              <w:t>витрати часу з підготовки та подання декларації  =  0,2 год.** х </w:t>
            </w:r>
            <w:r w:rsidRPr="002D1EA2">
              <w:rPr>
                <w:rFonts w:ascii="Times New Roman" w:eastAsia="Times New Roman" w:hAnsi="Times New Roman" w:cs="Times New Roman"/>
                <w:color w:val="333333"/>
                <w:sz w:val="24"/>
                <w:szCs w:val="24"/>
                <w:lang w:eastAsia="uk-UA"/>
              </w:rPr>
              <w:t>28,31грн</w:t>
            </w:r>
            <w:r w:rsidR="00C2468C">
              <w:rPr>
                <w:rFonts w:ascii="Times New Roman" w:eastAsia="Times New Roman" w:hAnsi="Times New Roman" w:cs="Times New Roman"/>
                <w:color w:val="333333"/>
                <w:sz w:val="24"/>
                <w:szCs w:val="24"/>
                <w:lang w:eastAsia="uk-UA"/>
              </w:rPr>
              <w:t>*** (мінімальна зарплата</w:t>
            </w:r>
            <w:r w:rsidRPr="002D1EA2">
              <w:rPr>
                <w:rFonts w:ascii="Times New Roman" w:eastAsia="Times New Roman" w:hAnsi="Times New Roman" w:cs="Times New Roman"/>
                <w:color w:val="333333"/>
                <w:sz w:val="24"/>
                <w:szCs w:val="24"/>
                <w:lang w:eastAsia="uk-UA"/>
              </w:rPr>
              <w:t xml:space="preserve"> 4 723,00 грн, погодинна – 28,31 грн) </w:t>
            </w:r>
            <w:r w:rsidRPr="002D1EA2">
              <w:rPr>
                <w:rFonts w:ascii="Times New Roman" w:eastAsia="Times New Roman" w:hAnsi="Times New Roman" w:cs="Times New Roman"/>
                <w:i/>
                <w:iCs/>
                <w:color w:val="333333"/>
                <w:sz w:val="24"/>
                <w:szCs w:val="24"/>
                <w:lang w:eastAsia="uk-UA"/>
              </w:rPr>
              <w:t> = 5,66 грн.</w:t>
            </w:r>
          </w:p>
        </w:tc>
        <w:tc>
          <w:tcPr>
            <w:tcW w:w="5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5,66</w:t>
            </w:r>
          </w:p>
        </w:tc>
      </w:tr>
      <w:tr w:rsidR="004C2FD0" w:rsidRPr="002D1EA2" w:rsidTr="004C2FD0">
        <w:tc>
          <w:tcPr>
            <w:tcW w:w="11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12</w:t>
            </w:r>
          </w:p>
        </w:tc>
        <w:tc>
          <w:tcPr>
            <w:tcW w:w="12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Інші процедури</w:t>
            </w:r>
          </w:p>
        </w:tc>
        <w:tc>
          <w:tcPr>
            <w:tcW w:w="5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Не передбачено</w:t>
            </w:r>
          </w:p>
        </w:tc>
      </w:tr>
      <w:tr w:rsidR="004C2FD0" w:rsidRPr="002D1EA2" w:rsidTr="004C2FD0">
        <w:tc>
          <w:tcPr>
            <w:tcW w:w="11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13</w:t>
            </w:r>
          </w:p>
        </w:tc>
        <w:tc>
          <w:tcPr>
            <w:tcW w:w="12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РАЗОМ (сума рядків: 8 + 9 + 10 + 11 + 12), грн.</w:t>
            </w:r>
          </w:p>
        </w:tc>
        <w:tc>
          <w:tcPr>
            <w:tcW w:w="5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8,49</w:t>
            </w:r>
          </w:p>
        </w:tc>
      </w:tr>
      <w:tr w:rsidR="004C2FD0" w:rsidRPr="002D1EA2" w:rsidTr="004C2FD0">
        <w:tc>
          <w:tcPr>
            <w:tcW w:w="11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14</w:t>
            </w:r>
          </w:p>
        </w:tc>
        <w:tc>
          <w:tcPr>
            <w:tcW w:w="12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xml:space="preserve">Кількість суб’єктів господарювання малого </w:t>
            </w:r>
            <w:proofErr w:type="spellStart"/>
            <w:r w:rsidRPr="002D1EA2">
              <w:rPr>
                <w:rFonts w:ascii="Times New Roman" w:eastAsia="Times New Roman" w:hAnsi="Times New Roman" w:cs="Times New Roman"/>
                <w:color w:val="333333"/>
                <w:sz w:val="24"/>
                <w:szCs w:val="24"/>
                <w:lang w:eastAsia="uk-UA"/>
              </w:rPr>
              <w:t>підприєм-ництва</w:t>
            </w:r>
            <w:proofErr w:type="spellEnd"/>
            <w:r w:rsidRPr="002D1EA2">
              <w:rPr>
                <w:rFonts w:ascii="Times New Roman" w:eastAsia="Times New Roman" w:hAnsi="Times New Roman" w:cs="Times New Roman"/>
                <w:color w:val="333333"/>
                <w:sz w:val="24"/>
                <w:szCs w:val="24"/>
                <w:lang w:eastAsia="uk-UA"/>
              </w:rPr>
              <w:t>, на яких буде поширено регулювання, одиниць:</w:t>
            </w:r>
          </w:p>
        </w:tc>
        <w:tc>
          <w:tcPr>
            <w:tcW w:w="5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p w:rsidR="004C2FD0" w:rsidRPr="002D1EA2" w:rsidRDefault="004013D8" w:rsidP="004C2FD0">
            <w:pPr>
              <w:spacing w:after="135"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697</w:t>
            </w:r>
          </w:p>
        </w:tc>
      </w:tr>
      <w:tr w:rsidR="004C2FD0" w:rsidRPr="002D1EA2" w:rsidTr="004C2FD0">
        <w:tc>
          <w:tcPr>
            <w:tcW w:w="11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15</w:t>
            </w:r>
          </w:p>
        </w:tc>
        <w:tc>
          <w:tcPr>
            <w:tcW w:w="12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Сумарні витрати суб’єктів малого господарювання підприємництва, на виконання регулювання (вартість регулювання) / рядок 13 х рядок 14/, грн.:</w:t>
            </w:r>
          </w:p>
        </w:tc>
        <w:tc>
          <w:tcPr>
            <w:tcW w:w="5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p w:rsidR="004C2FD0" w:rsidRPr="002D1EA2" w:rsidRDefault="004C2FD0" w:rsidP="004C2FD0">
            <w:pPr>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p w:rsidR="004C2FD0" w:rsidRPr="002D1EA2" w:rsidRDefault="004013D8" w:rsidP="004C2FD0">
            <w:pPr>
              <w:spacing w:after="135"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5917,53</w:t>
            </w:r>
          </w:p>
        </w:tc>
      </w:tr>
      <w:tr w:rsidR="004C2FD0" w:rsidRPr="002D1EA2" w:rsidTr="004C2FD0">
        <w:trPr>
          <w:trHeight w:val="180"/>
        </w:trPr>
        <w:tc>
          <w:tcPr>
            <w:tcW w:w="11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180" w:lineRule="atLeast"/>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16</w:t>
            </w:r>
          </w:p>
        </w:tc>
        <w:tc>
          <w:tcPr>
            <w:tcW w:w="12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180" w:lineRule="atLeast"/>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РАЗОМ (сума рядків: 7 +15), грн.</w:t>
            </w:r>
          </w:p>
        </w:tc>
        <w:tc>
          <w:tcPr>
            <w:tcW w:w="5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013D8" w:rsidP="00C2468C">
            <w:pPr>
              <w:spacing w:after="135" w:line="180" w:lineRule="atLeast"/>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b/>
                <w:bCs/>
                <w:i/>
                <w:iCs/>
                <w:color w:val="333333"/>
                <w:sz w:val="24"/>
                <w:szCs w:val="24"/>
                <w:lang w:eastAsia="uk-UA"/>
              </w:rPr>
              <w:t>15 316 817,53</w:t>
            </w:r>
          </w:p>
        </w:tc>
      </w:tr>
    </w:tbl>
    <w:p w:rsidR="004C2FD0" w:rsidRPr="002D1EA2" w:rsidRDefault="004C2FD0" w:rsidP="004C2FD0">
      <w:pPr>
        <w:shd w:val="clear" w:color="auto" w:fill="FFFFFF"/>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p w:rsidR="004C2FD0" w:rsidRPr="002D1EA2" w:rsidRDefault="004C2FD0" w:rsidP="004C2FD0">
      <w:pPr>
        <w:shd w:val="clear" w:color="auto" w:fill="FFFFFF"/>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i/>
          <w:iCs/>
          <w:color w:val="333333"/>
          <w:sz w:val="24"/>
          <w:szCs w:val="24"/>
          <w:lang w:eastAsia="uk-UA"/>
        </w:rPr>
        <w:t>**Відповідно до пунктів 1, 3, 6, карти 11 міжгалузевих нормативів чисельності працівників бухгалтерського обліку (Наказ Міністерства праці і соціальної політики України від 26 вересня 2003 року №269 «Міжгалузеві нормативи чисельності працівників бухгалтерського обліку»).</w:t>
      </w:r>
    </w:p>
    <w:p w:rsidR="004C2FD0" w:rsidRPr="002D1EA2" w:rsidRDefault="004C2FD0" w:rsidP="004C2FD0">
      <w:pPr>
        <w:shd w:val="clear" w:color="auto" w:fill="FFFFFF"/>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i/>
          <w:iCs/>
          <w:color w:val="333333"/>
          <w:sz w:val="24"/>
          <w:szCs w:val="24"/>
          <w:lang w:eastAsia="uk-UA"/>
        </w:rPr>
        <w:t>***Для розрахунку витрат використовується мінімальний розмір заробітної плати відповідно до ст. 8 Закону України «Про Державний бюджет України на 2020 рік» - мінімальна заробітна плата у 2020 році – 4723,00 грн,   у погодинному розмірі – 28,31 грн.</w:t>
      </w:r>
    </w:p>
    <w:p w:rsidR="004C2FD0" w:rsidRPr="002D1EA2" w:rsidRDefault="004C2FD0" w:rsidP="00C2468C">
      <w:pPr>
        <w:shd w:val="clear" w:color="auto" w:fill="FFFFFF"/>
        <w:spacing w:after="135" w:line="240" w:lineRule="auto"/>
        <w:ind w:firstLine="708"/>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Податок не є новим, суб’єкти господарювання ознайомленні з вимогами Кодексу та сплачують податок вже не один рік. Тому витрати часу на виконання вимог регулювання зменшено та становлять 0,3 год.</w:t>
      </w:r>
    </w:p>
    <w:p w:rsidR="004C2FD0" w:rsidRPr="002D1EA2" w:rsidRDefault="004C2FD0" w:rsidP="00C2468C">
      <w:pPr>
        <w:shd w:val="clear" w:color="auto" w:fill="FFFFFF"/>
        <w:spacing w:after="0"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p w:rsidR="004C2FD0" w:rsidRPr="002D1EA2" w:rsidRDefault="004C2FD0" w:rsidP="00C2468C">
      <w:pPr>
        <w:shd w:val="clear" w:color="auto" w:fill="FFFFFF"/>
        <w:spacing w:after="0"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4. Розрахунок сумарних витрат суб’єктів малого підприємництва,</w:t>
      </w:r>
    </w:p>
    <w:p w:rsidR="004C2FD0" w:rsidRPr="002D1EA2" w:rsidRDefault="004C2FD0" w:rsidP="00C2468C">
      <w:pPr>
        <w:shd w:val="clear" w:color="auto" w:fill="FFFFFF"/>
        <w:spacing w:after="0"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що виникають на виконання вимог регулювання</w:t>
      </w:r>
    </w:p>
    <w:p w:rsidR="004C2FD0" w:rsidRPr="002D1EA2" w:rsidRDefault="004C2FD0" w:rsidP="004C2FD0">
      <w:pPr>
        <w:shd w:val="clear" w:color="auto" w:fill="FFFFFF"/>
        <w:spacing w:after="135" w:line="240" w:lineRule="auto"/>
        <w:jc w:val="right"/>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i/>
          <w:iCs/>
          <w:color w:val="333333"/>
          <w:sz w:val="24"/>
          <w:szCs w:val="24"/>
          <w:lang w:eastAsia="uk-UA"/>
        </w:rPr>
        <w:t>Таблиця 4</w:t>
      </w:r>
    </w:p>
    <w:tbl>
      <w:tblPr>
        <w:tblW w:w="97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25"/>
        <w:gridCol w:w="6250"/>
        <w:gridCol w:w="2975"/>
      </w:tblGrid>
      <w:tr w:rsidR="004C2FD0" w:rsidRPr="002D1EA2" w:rsidTr="004C2FD0">
        <w:trPr>
          <w:tblHeader/>
        </w:trPr>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ind w:left="-72"/>
              <w:jc w:val="center"/>
              <w:rPr>
                <w:rFonts w:ascii="Times New Roman" w:eastAsia="Times New Roman" w:hAnsi="Times New Roman" w:cs="Times New Roman"/>
                <w:b/>
                <w:bCs/>
                <w:color w:val="333333"/>
                <w:sz w:val="24"/>
                <w:szCs w:val="24"/>
                <w:lang w:eastAsia="uk-UA"/>
              </w:rPr>
            </w:pPr>
            <w:r w:rsidRPr="002D1EA2">
              <w:rPr>
                <w:rFonts w:ascii="Times New Roman" w:eastAsia="Times New Roman" w:hAnsi="Times New Roman" w:cs="Times New Roman"/>
                <w:b/>
                <w:bCs/>
                <w:i/>
                <w:iCs/>
                <w:color w:val="333333"/>
                <w:sz w:val="24"/>
                <w:szCs w:val="24"/>
                <w:lang w:eastAsia="uk-UA"/>
              </w:rPr>
              <w:t>№</w:t>
            </w:r>
          </w:p>
          <w:p w:rsidR="004C2FD0" w:rsidRPr="002D1EA2" w:rsidRDefault="004C2FD0" w:rsidP="004C2FD0">
            <w:pPr>
              <w:spacing w:after="135" w:line="240" w:lineRule="auto"/>
              <w:ind w:left="-72"/>
              <w:jc w:val="center"/>
              <w:rPr>
                <w:rFonts w:ascii="Times New Roman" w:eastAsia="Times New Roman" w:hAnsi="Times New Roman" w:cs="Times New Roman"/>
                <w:b/>
                <w:bCs/>
                <w:color w:val="333333"/>
                <w:sz w:val="24"/>
                <w:szCs w:val="24"/>
                <w:lang w:eastAsia="uk-UA"/>
              </w:rPr>
            </w:pPr>
            <w:r w:rsidRPr="002D1EA2">
              <w:rPr>
                <w:rFonts w:ascii="Times New Roman" w:eastAsia="Times New Roman" w:hAnsi="Times New Roman" w:cs="Times New Roman"/>
                <w:b/>
                <w:bCs/>
                <w:i/>
                <w:iCs/>
                <w:color w:val="333333"/>
                <w:sz w:val="24"/>
                <w:szCs w:val="24"/>
                <w:lang w:eastAsia="uk-UA"/>
              </w:rPr>
              <w:t>з/п</w:t>
            </w:r>
          </w:p>
        </w:tc>
        <w:tc>
          <w:tcPr>
            <w:tcW w:w="6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b/>
                <w:bCs/>
                <w:color w:val="333333"/>
                <w:sz w:val="24"/>
                <w:szCs w:val="24"/>
                <w:lang w:eastAsia="uk-UA"/>
              </w:rPr>
            </w:pPr>
            <w:r w:rsidRPr="002D1EA2">
              <w:rPr>
                <w:rFonts w:ascii="Times New Roman" w:eastAsia="Times New Roman" w:hAnsi="Times New Roman" w:cs="Times New Roman"/>
                <w:b/>
                <w:bCs/>
                <w:i/>
                <w:iCs/>
                <w:color w:val="333333"/>
                <w:sz w:val="24"/>
                <w:szCs w:val="24"/>
                <w:lang w:eastAsia="uk-UA"/>
              </w:rPr>
              <w:t>Показник</w:t>
            </w:r>
          </w:p>
        </w:tc>
        <w:tc>
          <w:tcPr>
            <w:tcW w:w="2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b/>
                <w:bCs/>
                <w:color w:val="333333"/>
                <w:sz w:val="24"/>
                <w:szCs w:val="24"/>
                <w:lang w:eastAsia="uk-UA"/>
              </w:rPr>
            </w:pPr>
            <w:r w:rsidRPr="002D1EA2">
              <w:rPr>
                <w:rFonts w:ascii="Times New Roman" w:eastAsia="Times New Roman" w:hAnsi="Times New Roman" w:cs="Times New Roman"/>
                <w:b/>
                <w:bCs/>
                <w:i/>
                <w:iCs/>
                <w:color w:val="333333"/>
                <w:sz w:val="24"/>
                <w:szCs w:val="24"/>
                <w:lang w:eastAsia="uk-UA"/>
              </w:rPr>
              <w:t>Перший рік регулювання (стартовий), грн.</w:t>
            </w:r>
          </w:p>
        </w:tc>
      </w:tr>
      <w:tr w:rsidR="004C2FD0" w:rsidRPr="002D1EA2" w:rsidTr="004C2FD0">
        <w:trPr>
          <w:tblHeader/>
        </w:trPr>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ind w:left="-72"/>
              <w:jc w:val="center"/>
              <w:rPr>
                <w:rFonts w:ascii="Times New Roman" w:eastAsia="Times New Roman" w:hAnsi="Times New Roman" w:cs="Times New Roman"/>
                <w:b/>
                <w:bCs/>
                <w:color w:val="333333"/>
                <w:sz w:val="24"/>
                <w:szCs w:val="24"/>
                <w:lang w:eastAsia="uk-UA"/>
              </w:rPr>
            </w:pPr>
            <w:r w:rsidRPr="002D1EA2">
              <w:rPr>
                <w:rFonts w:ascii="Times New Roman" w:eastAsia="Times New Roman" w:hAnsi="Times New Roman" w:cs="Times New Roman"/>
                <w:b/>
                <w:bCs/>
                <w:color w:val="333333"/>
                <w:sz w:val="24"/>
                <w:szCs w:val="24"/>
                <w:lang w:eastAsia="uk-UA"/>
              </w:rPr>
              <w:t>1</w:t>
            </w:r>
          </w:p>
        </w:tc>
        <w:tc>
          <w:tcPr>
            <w:tcW w:w="6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b/>
                <w:bCs/>
                <w:color w:val="333333"/>
                <w:sz w:val="24"/>
                <w:szCs w:val="24"/>
                <w:lang w:eastAsia="uk-UA"/>
              </w:rPr>
            </w:pPr>
            <w:r w:rsidRPr="002D1EA2">
              <w:rPr>
                <w:rFonts w:ascii="Times New Roman" w:eastAsia="Times New Roman" w:hAnsi="Times New Roman" w:cs="Times New Roman"/>
                <w:b/>
                <w:bCs/>
                <w:color w:val="333333"/>
                <w:sz w:val="24"/>
                <w:szCs w:val="24"/>
                <w:lang w:eastAsia="uk-UA"/>
              </w:rPr>
              <w:t>Оцінка «прямих» витрат суб’єктів малого підприємництва на виконання регулювання, грн.</w:t>
            </w:r>
          </w:p>
        </w:tc>
        <w:tc>
          <w:tcPr>
            <w:tcW w:w="2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177936" w:rsidP="004C2FD0">
            <w:pPr>
              <w:spacing w:after="135" w:line="240" w:lineRule="auto"/>
              <w:jc w:val="center"/>
              <w:rPr>
                <w:rFonts w:ascii="Times New Roman" w:eastAsia="Times New Roman" w:hAnsi="Times New Roman" w:cs="Times New Roman"/>
                <w:b/>
                <w:bCs/>
                <w:color w:val="333333"/>
                <w:sz w:val="24"/>
                <w:szCs w:val="24"/>
                <w:lang w:eastAsia="uk-UA"/>
              </w:rPr>
            </w:pPr>
            <w:r>
              <w:rPr>
                <w:rFonts w:ascii="Times New Roman" w:eastAsia="Times New Roman" w:hAnsi="Times New Roman" w:cs="Times New Roman"/>
                <w:b/>
                <w:bCs/>
                <w:i/>
                <w:iCs/>
                <w:color w:val="333333"/>
                <w:sz w:val="24"/>
                <w:szCs w:val="24"/>
                <w:lang w:eastAsia="uk-UA"/>
              </w:rPr>
              <w:t>15 316 817,53</w:t>
            </w:r>
          </w:p>
        </w:tc>
      </w:tr>
      <w:tr w:rsidR="004C2FD0" w:rsidRPr="002D1EA2" w:rsidTr="004C2FD0">
        <w:trPr>
          <w:tblHeader/>
        </w:trPr>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b/>
                <w:bCs/>
                <w:color w:val="333333"/>
                <w:sz w:val="24"/>
                <w:szCs w:val="24"/>
                <w:lang w:eastAsia="uk-UA"/>
              </w:rPr>
            </w:pPr>
            <w:r w:rsidRPr="002D1EA2">
              <w:rPr>
                <w:rFonts w:ascii="Times New Roman" w:eastAsia="Times New Roman" w:hAnsi="Times New Roman" w:cs="Times New Roman"/>
                <w:b/>
                <w:bCs/>
                <w:color w:val="333333"/>
                <w:sz w:val="24"/>
                <w:szCs w:val="24"/>
                <w:lang w:eastAsia="uk-UA"/>
              </w:rPr>
              <w:lastRenderedPageBreak/>
              <w:t>2</w:t>
            </w:r>
          </w:p>
        </w:tc>
        <w:tc>
          <w:tcPr>
            <w:tcW w:w="6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b/>
                <w:bCs/>
                <w:color w:val="333333"/>
                <w:sz w:val="24"/>
                <w:szCs w:val="24"/>
                <w:lang w:eastAsia="uk-UA"/>
              </w:rPr>
            </w:pPr>
            <w:r w:rsidRPr="002D1EA2">
              <w:rPr>
                <w:rFonts w:ascii="Times New Roman" w:eastAsia="Times New Roman" w:hAnsi="Times New Roman" w:cs="Times New Roman"/>
                <w:b/>
                <w:bCs/>
                <w:color w:val="333333"/>
                <w:sz w:val="24"/>
                <w:szCs w:val="24"/>
                <w:lang w:eastAsia="uk-UA"/>
              </w:rPr>
              <w:t>Оцінка вартості адміністративних процедур для суб’єктів малого підприємництва щодо виконання регулювання та звітування, грн.</w:t>
            </w:r>
          </w:p>
        </w:tc>
        <w:tc>
          <w:tcPr>
            <w:tcW w:w="2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177936" w:rsidP="004C2FD0">
            <w:pPr>
              <w:spacing w:after="135" w:line="240" w:lineRule="auto"/>
              <w:jc w:val="center"/>
              <w:rPr>
                <w:rFonts w:ascii="Times New Roman" w:eastAsia="Times New Roman" w:hAnsi="Times New Roman" w:cs="Times New Roman"/>
                <w:b/>
                <w:bCs/>
                <w:color w:val="333333"/>
                <w:sz w:val="24"/>
                <w:szCs w:val="24"/>
                <w:lang w:eastAsia="uk-UA"/>
              </w:rPr>
            </w:pPr>
            <w:r>
              <w:rPr>
                <w:rFonts w:ascii="Times New Roman" w:eastAsia="Times New Roman" w:hAnsi="Times New Roman" w:cs="Times New Roman"/>
                <w:b/>
                <w:bCs/>
                <w:color w:val="333333"/>
                <w:sz w:val="24"/>
                <w:szCs w:val="24"/>
                <w:lang w:eastAsia="uk-UA"/>
              </w:rPr>
              <w:t>5917,53</w:t>
            </w:r>
          </w:p>
        </w:tc>
      </w:tr>
      <w:tr w:rsidR="004C2FD0" w:rsidRPr="002D1EA2" w:rsidTr="004C2FD0">
        <w:trPr>
          <w:tblHeader/>
        </w:trPr>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ind w:left="-72"/>
              <w:jc w:val="center"/>
              <w:rPr>
                <w:rFonts w:ascii="Times New Roman" w:eastAsia="Times New Roman" w:hAnsi="Times New Roman" w:cs="Times New Roman"/>
                <w:b/>
                <w:bCs/>
                <w:color w:val="333333"/>
                <w:sz w:val="24"/>
                <w:szCs w:val="24"/>
                <w:lang w:eastAsia="uk-UA"/>
              </w:rPr>
            </w:pPr>
            <w:r w:rsidRPr="002D1EA2">
              <w:rPr>
                <w:rFonts w:ascii="Times New Roman" w:eastAsia="Times New Roman" w:hAnsi="Times New Roman" w:cs="Times New Roman"/>
                <w:b/>
                <w:bCs/>
                <w:color w:val="333333"/>
                <w:sz w:val="24"/>
                <w:szCs w:val="24"/>
                <w:lang w:eastAsia="uk-UA"/>
              </w:rPr>
              <w:t>3</w:t>
            </w:r>
          </w:p>
        </w:tc>
        <w:tc>
          <w:tcPr>
            <w:tcW w:w="6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b/>
                <w:bCs/>
                <w:color w:val="333333"/>
                <w:sz w:val="24"/>
                <w:szCs w:val="24"/>
                <w:lang w:eastAsia="uk-UA"/>
              </w:rPr>
            </w:pPr>
            <w:r w:rsidRPr="002D1EA2">
              <w:rPr>
                <w:rFonts w:ascii="Times New Roman" w:eastAsia="Times New Roman" w:hAnsi="Times New Roman" w:cs="Times New Roman"/>
                <w:b/>
                <w:bCs/>
                <w:color w:val="333333"/>
                <w:sz w:val="24"/>
                <w:szCs w:val="24"/>
                <w:lang w:eastAsia="uk-UA"/>
              </w:rPr>
              <w:t>Сумарні витрати малого підприємництва на виконання запланованого  регулювання (рядок 1+ рядок 2), грн.</w:t>
            </w:r>
          </w:p>
        </w:tc>
        <w:tc>
          <w:tcPr>
            <w:tcW w:w="2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177936" w:rsidP="004C2FD0">
            <w:pPr>
              <w:spacing w:after="135" w:line="240" w:lineRule="auto"/>
              <w:jc w:val="center"/>
              <w:rPr>
                <w:rFonts w:ascii="Times New Roman" w:eastAsia="Times New Roman" w:hAnsi="Times New Roman" w:cs="Times New Roman"/>
                <w:b/>
                <w:bCs/>
                <w:color w:val="333333"/>
                <w:sz w:val="24"/>
                <w:szCs w:val="24"/>
                <w:lang w:eastAsia="uk-UA"/>
              </w:rPr>
            </w:pPr>
            <w:r>
              <w:rPr>
                <w:rFonts w:ascii="Times New Roman" w:eastAsia="Times New Roman" w:hAnsi="Times New Roman" w:cs="Times New Roman"/>
                <w:b/>
                <w:bCs/>
                <w:color w:val="333333"/>
                <w:sz w:val="24"/>
                <w:szCs w:val="24"/>
                <w:lang w:eastAsia="uk-UA"/>
              </w:rPr>
              <w:t>15 322 735,06</w:t>
            </w:r>
          </w:p>
        </w:tc>
      </w:tr>
      <w:tr w:rsidR="004C2FD0" w:rsidRPr="002D1EA2" w:rsidTr="004C2FD0">
        <w:trPr>
          <w:trHeight w:val="360"/>
          <w:tblHeader/>
        </w:trPr>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ind w:left="-72"/>
              <w:jc w:val="center"/>
              <w:rPr>
                <w:rFonts w:ascii="Times New Roman" w:eastAsia="Times New Roman" w:hAnsi="Times New Roman" w:cs="Times New Roman"/>
                <w:b/>
                <w:bCs/>
                <w:color w:val="333333"/>
                <w:sz w:val="24"/>
                <w:szCs w:val="24"/>
                <w:lang w:eastAsia="uk-UA"/>
              </w:rPr>
            </w:pPr>
            <w:r w:rsidRPr="002D1EA2">
              <w:rPr>
                <w:rFonts w:ascii="Times New Roman" w:eastAsia="Times New Roman" w:hAnsi="Times New Roman" w:cs="Times New Roman"/>
                <w:b/>
                <w:bCs/>
                <w:color w:val="333333"/>
                <w:sz w:val="24"/>
                <w:szCs w:val="24"/>
                <w:lang w:eastAsia="uk-UA"/>
              </w:rPr>
              <w:t>4</w:t>
            </w:r>
          </w:p>
        </w:tc>
        <w:tc>
          <w:tcPr>
            <w:tcW w:w="6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b/>
                <w:bCs/>
                <w:color w:val="333333"/>
                <w:sz w:val="24"/>
                <w:szCs w:val="24"/>
                <w:lang w:eastAsia="uk-UA"/>
              </w:rPr>
            </w:pPr>
            <w:r w:rsidRPr="002D1EA2">
              <w:rPr>
                <w:rFonts w:ascii="Times New Roman" w:eastAsia="Times New Roman" w:hAnsi="Times New Roman" w:cs="Times New Roman"/>
                <w:b/>
                <w:bCs/>
                <w:color w:val="333333"/>
                <w:sz w:val="24"/>
                <w:szCs w:val="24"/>
                <w:lang w:eastAsia="uk-UA"/>
              </w:rPr>
              <w:t>Бюджетні витрати на адміністрування регулювання суб’єктів малого підприємництва, грн.</w:t>
            </w:r>
          </w:p>
        </w:tc>
        <w:tc>
          <w:tcPr>
            <w:tcW w:w="2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b/>
                <w:bCs/>
                <w:color w:val="333333"/>
                <w:sz w:val="24"/>
                <w:szCs w:val="24"/>
                <w:lang w:eastAsia="uk-UA"/>
              </w:rPr>
            </w:pPr>
            <w:r w:rsidRPr="002D1EA2">
              <w:rPr>
                <w:rFonts w:ascii="Times New Roman" w:eastAsia="Times New Roman" w:hAnsi="Times New Roman" w:cs="Times New Roman"/>
                <w:b/>
                <w:bCs/>
                <w:color w:val="333333"/>
                <w:sz w:val="24"/>
                <w:szCs w:val="24"/>
                <w:lang w:eastAsia="uk-UA"/>
              </w:rPr>
              <w:t>-----</w:t>
            </w:r>
          </w:p>
        </w:tc>
      </w:tr>
      <w:tr w:rsidR="004C2FD0" w:rsidRPr="002D1EA2" w:rsidTr="004C2FD0">
        <w:trPr>
          <w:tblHeader/>
        </w:trPr>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ind w:left="-72"/>
              <w:jc w:val="center"/>
              <w:rPr>
                <w:rFonts w:ascii="Times New Roman" w:eastAsia="Times New Roman" w:hAnsi="Times New Roman" w:cs="Times New Roman"/>
                <w:b/>
                <w:bCs/>
                <w:color w:val="333333"/>
                <w:sz w:val="24"/>
                <w:szCs w:val="24"/>
                <w:lang w:eastAsia="uk-UA"/>
              </w:rPr>
            </w:pPr>
            <w:r w:rsidRPr="002D1EA2">
              <w:rPr>
                <w:rFonts w:ascii="Times New Roman" w:eastAsia="Times New Roman" w:hAnsi="Times New Roman" w:cs="Times New Roman"/>
                <w:b/>
                <w:bCs/>
                <w:color w:val="333333"/>
                <w:sz w:val="24"/>
                <w:szCs w:val="24"/>
                <w:lang w:eastAsia="uk-UA"/>
              </w:rPr>
              <w:t>5</w:t>
            </w:r>
          </w:p>
        </w:tc>
        <w:tc>
          <w:tcPr>
            <w:tcW w:w="6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4C2FD0" w:rsidP="004C2FD0">
            <w:pPr>
              <w:spacing w:after="135" w:line="240" w:lineRule="auto"/>
              <w:jc w:val="center"/>
              <w:rPr>
                <w:rFonts w:ascii="Times New Roman" w:eastAsia="Times New Roman" w:hAnsi="Times New Roman" w:cs="Times New Roman"/>
                <w:b/>
                <w:bCs/>
                <w:color w:val="333333"/>
                <w:sz w:val="24"/>
                <w:szCs w:val="24"/>
                <w:lang w:eastAsia="uk-UA"/>
              </w:rPr>
            </w:pPr>
            <w:r w:rsidRPr="002D1EA2">
              <w:rPr>
                <w:rFonts w:ascii="Times New Roman" w:eastAsia="Times New Roman" w:hAnsi="Times New Roman" w:cs="Times New Roman"/>
                <w:b/>
                <w:bCs/>
                <w:color w:val="333333"/>
                <w:sz w:val="24"/>
                <w:szCs w:val="24"/>
                <w:lang w:eastAsia="uk-UA"/>
              </w:rPr>
              <w:t>Сумарні витрати на виконання запланованого регулювання (рядок 3 + рядок 4), грн.</w:t>
            </w:r>
          </w:p>
        </w:tc>
        <w:tc>
          <w:tcPr>
            <w:tcW w:w="2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FD0" w:rsidRPr="002D1EA2" w:rsidRDefault="00177936" w:rsidP="004C2FD0">
            <w:pPr>
              <w:spacing w:after="135" w:line="240" w:lineRule="auto"/>
              <w:ind w:left="-108"/>
              <w:jc w:val="center"/>
              <w:rPr>
                <w:rFonts w:ascii="Times New Roman" w:eastAsia="Times New Roman" w:hAnsi="Times New Roman" w:cs="Times New Roman"/>
                <w:b/>
                <w:bCs/>
                <w:color w:val="333333"/>
                <w:sz w:val="24"/>
                <w:szCs w:val="24"/>
                <w:lang w:eastAsia="uk-UA"/>
              </w:rPr>
            </w:pPr>
            <w:r>
              <w:rPr>
                <w:rFonts w:ascii="Times New Roman" w:eastAsia="Times New Roman" w:hAnsi="Times New Roman" w:cs="Times New Roman"/>
                <w:b/>
                <w:bCs/>
                <w:color w:val="333333"/>
                <w:sz w:val="24"/>
                <w:szCs w:val="24"/>
                <w:lang w:eastAsia="uk-UA"/>
              </w:rPr>
              <w:t>15 322 735,06</w:t>
            </w:r>
          </w:p>
        </w:tc>
      </w:tr>
    </w:tbl>
    <w:p w:rsidR="004C2FD0" w:rsidRPr="002D1EA2" w:rsidRDefault="004C2FD0" w:rsidP="004C2FD0">
      <w:pPr>
        <w:shd w:val="clear" w:color="auto" w:fill="FFFFFF"/>
        <w:spacing w:after="135" w:line="240" w:lineRule="auto"/>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 </w:t>
      </w:r>
    </w:p>
    <w:p w:rsidR="004C2FD0" w:rsidRPr="002D1EA2" w:rsidRDefault="004C2FD0" w:rsidP="004C2FD0">
      <w:pPr>
        <w:shd w:val="clear" w:color="auto" w:fill="FFFFFF"/>
        <w:spacing w:after="135" w:line="240" w:lineRule="auto"/>
        <w:jc w:val="center"/>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b/>
          <w:bCs/>
          <w:i/>
          <w:iCs/>
          <w:color w:val="333333"/>
          <w:sz w:val="24"/>
          <w:szCs w:val="24"/>
          <w:lang w:eastAsia="uk-UA"/>
        </w:rPr>
        <w:t>5. Розроблення коригуючих (пом’якшувальних) заходів для малого підприємництва щодо запропонованого  регулювання</w:t>
      </w:r>
    </w:p>
    <w:p w:rsidR="004C2FD0" w:rsidRPr="002D1EA2" w:rsidRDefault="004C2FD0" w:rsidP="00C2468C">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Податковим кодексом України визначаються об’єкт, база  оподаткування, податковий період, порядки обчислення суми податку, обчислення сум податку в разі зміни власника об’єкта оподаткування, строк, порядок сплати податку та інші його обов’язкові елементи й повноваження органів місцевого самоврядування щодо його встановлення.</w:t>
      </w:r>
    </w:p>
    <w:p w:rsidR="004C2FD0" w:rsidRPr="002D1EA2" w:rsidRDefault="004C2FD0" w:rsidP="00C2468C">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Цей податок не є новим. При його запровадженні для суб’єктів малого підприємництва на законодавчому рівні вже застосовано коригуючі (пом’якшувальні) заходи, а саме: не є об’єктами оподаткування об’єкти нежитлової нерухомості, що використовуються суб’єктами господарювання малого та середнього бізнесу, які провадять діяльність у малих архітектурних формах  та  на  ринках, будівлі, споруди сільськогосподарських товаровиробників (юридичних та фізичних осіб), що віднесені до класу «Будівлі сільськогосподарського призначення, лісівництва та рибного господарства» (код 1271) Державного класифікатора  будівель та споруд ДК 018-2000, та не здаються їх власниками в оренду, лізинг, позичку тощо.</w:t>
      </w:r>
    </w:p>
    <w:p w:rsidR="004C2FD0" w:rsidRPr="002D1EA2" w:rsidRDefault="004C2FD0" w:rsidP="00A21829">
      <w:pPr>
        <w:shd w:val="clear" w:color="auto" w:fill="FFFFFF"/>
        <w:spacing w:after="135" w:line="240" w:lineRule="auto"/>
        <w:ind w:left="23" w:firstLine="685"/>
        <w:jc w:val="both"/>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Запропоновані розміри ставок податку забезпечать виконання соціально важливих міських цільових програм, фінансування бюджетної сфери в галузях освіти, соціального захисту, житлово-комунального та дорожнього господарства, транспорту тощо. </w:t>
      </w:r>
    </w:p>
    <w:p w:rsidR="004C2FD0" w:rsidRPr="002D1EA2" w:rsidRDefault="0046296D" w:rsidP="00A21829">
      <w:pPr>
        <w:shd w:val="clear" w:color="auto" w:fill="FFFFFF"/>
        <w:spacing w:after="135" w:line="240" w:lineRule="auto"/>
        <w:ind w:firstLine="23"/>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           </w:t>
      </w:r>
      <w:r w:rsidR="004C2FD0" w:rsidRPr="002D1EA2">
        <w:rPr>
          <w:rFonts w:ascii="Times New Roman" w:eastAsia="Times New Roman" w:hAnsi="Times New Roman" w:cs="Times New Roman"/>
          <w:color w:val="333333"/>
          <w:sz w:val="24"/>
          <w:szCs w:val="24"/>
          <w:lang w:eastAsia="uk-UA"/>
        </w:rPr>
        <w:t>Установлення диференційованих ставок є компенсаторним заходом.</w:t>
      </w:r>
    </w:p>
    <w:p w:rsidR="004C2FD0" w:rsidRPr="002D1EA2" w:rsidRDefault="004C2FD0" w:rsidP="00A21829">
      <w:pPr>
        <w:shd w:val="clear" w:color="auto" w:fill="FFFFFF"/>
        <w:spacing w:after="135" w:line="240" w:lineRule="auto"/>
        <w:ind w:firstLine="708"/>
        <w:rPr>
          <w:rFonts w:ascii="Times New Roman" w:eastAsia="Times New Roman" w:hAnsi="Times New Roman" w:cs="Times New Roman"/>
          <w:color w:val="333333"/>
          <w:sz w:val="24"/>
          <w:szCs w:val="24"/>
          <w:lang w:eastAsia="uk-UA"/>
        </w:rPr>
      </w:pPr>
      <w:r w:rsidRPr="002D1EA2">
        <w:rPr>
          <w:rFonts w:ascii="Times New Roman" w:eastAsia="Times New Roman" w:hAnsi="Times New Roman" w:cs="Times New Roman"/>
          <w:color w:val="333333"/>
          <w:sz w:val="24"/>
          <w:szCs w:val="24"/>
          <w:lang w:eastAsia="uk-UA"/>
        </w:rPr>
        <w:t>Однак, відповідні норми встановлені Кодексом і не можуть бути врегульовані на рівні місцевих рад.</w:t>
      </w:r>
    </w:p>
    <w:p w:rsidR="00ED1019" w:rsidRDefault="00ED1019">
      <w:pPr>
        <w:rPr>
          <w:rFonts w:ascii="Times New Roman" w:hAnsi="Times New Roman" w:cs="Times New Roman"/>
          <w:sz w:val="24"/>
          <w:szCs w:val="24"/>
        </w:rPr>
      </w:pPr>
    </w:p>
    <w:p w:rsidR="00C2468C" w:rsidRPr="00C2468C" w:rsidRDefault="00C2468C" w:rsidP="00C2468C">
      <w:pPr>
        <w:pStyle w:val="a8"/>
        <w:jc w:val="both"/>
        <w:rPr>
          <w:b w:val="0"/>
          <w:i w:val="0"/>
          <w:sz w:val="26"/>
        </w:rPr>
      </w:pPr>
      <w:r w:rsidRPr="00C2468C">
        <w:rPr>
          <w:b w:val="0"/>
          <w:i w:val="0"/>
          <w:sz w:val="26"/>
        </w:rPr>
        <w:t>Перший заступник міського голови,</w:t>
      </w:r>
    </w:p>
    <w:p w:rsidR="00C2468C" w:rsidRPr="00C2468C" w:rsidRDefault="00C2468C" w:rsidP="00C2468C">
      <w:pPr>
        <w:pStyle w:val="a8"/>
        <w:jc w:val="both"/>
        <w:rPr>
          <w:b w:val="0"/>
          <w:i w:val="0"/>
          <w:sz w:val="26"/>
        </w:rPr>
      </w:pPr>
      <w:r w:rsidRPr="00C2468C">
        <w:rPr>
          <w:b w:val="0"/>
          <w:i w:val="0"/>
          <w:sz w:val="26"/>
        </w:rPr>
        <w:t>голова постійної комісії для забезпечення</w:t>
      </w:r>
    </w:p>
    <w:p w:rsidR="00C2468C" w:rsidRPr="00C2468C" w:rsidRDefault="00C2468C" w:rsidP="00C2468C">
      <w:pPr>
        <w:pStyle w:val="a8"/>
        <w:jc w:val="both"/>
        <w:rPr>
          <w:b w:val="0"/>
          <w:i w:val="0"/>
          <w:sz w:val="26"/>
        </w:rPr>
      </w:pPr>
      <w:r w:rsidRPr="00C2468C">
        <w:rPr>
          <w:b w:val="0"/>
          <w:i w:val="0"/>
          <w:sz w:val="26"/>
        </w:rPr>
        <w:t xml:space="preserve">здійснення у виконавчих органах </w:t>
      </w:r>
    </w:p>
    <w:p w:rsidR="00C2468C" w:rsidRPr="00C2468C" w:rsidRDefault="00C2468C" w:rsidP="00C2468C">
      <w:pPr>
        <w:pStyle w:val="a8"/>
        <w:jc w:val="both"/>
        <w:rPr>
          <w:b w:val="0"/>
          <w:i w:val="0"/>
          <w:sz w:val="26"/>
        </w:rPr>
      </w:pPr>
      <w:r w:rsidRPr="00C2468C">
        <w:rPr>
          <w:b w:val="0"/>
          <w:i w:val="0"/>
          <w:sz w:val="26"/>
        </w:rPr>
        <w:t xml:space="preserve">міської ради державної регуляторної </w:t>
      </w:r>
    </w:p>
    <w:p w:rsidR="00C2468C" w:rsidRPr="00C2468C" w:rsidRDefault="00C2468C" w:rsidP="00C2468C">
      <w:pPr>
        <w:pStyle w:val="a8"/>
        <w:jc w:val="both"/>
        <w:rPr>
          <w:b w:val="0"/>
          <w:i w:val="0"/>
          <w:sz w:val="26"/>
        </w:rPr>
      </w:pPr>
      <w:r w:rsidRPr="00C2468C">
        <w:rPr>
          <w:b w:val="0"/>
          <w:i w:val="0"/>
          <w:sz w:val="26"/>
        </w:rPr>
        <w:t>політики у сфері господарської діяльності                           Григорій НЕДОПАД</w:t>
      </w:r>
    </w:p>
    <w:p w:rsidR="00C2468C" w:rsidRPr="00C2468C" w:rsidRDefault="00C2468C" w:rsidP="00C2468C">
      <w:pPr>
        <w:pStyle w:val="a8"/>
        <w:jc w:val="both"/>
        <w:rPr>
          <w:b w:val="0"/>
          <w:i w:val="0"/>
          <w:sz w:val="26"/>
        </w:rPr>
      </w:pPr>
    </w:p>
    <w:p w:rsidR="00C2468C" w:rsidRPr="00C2468C" w:rsidRDefault="00C2468C" w:rsidP="00C2468C">
      <w:pPr>
        <w:pStyle w:val="a8"/>
        <w:jc w:val="both"/>
        <w:rPr>
          <w:b w:val="0"/>
          <w:i w:val="0"/>
          <w:sz w:val="26"/>
        </w:rPr>
      </w:pPr>
    </w:p>
    <w:p w:rsidR="00C2468C" w:rsidRPr="00C2468C" w:rsidRDefault="00C2468C" w:rsidP="00C2468C">
      <w:pPr>
        <w:pStyle w:val="a8"/>
        <w:jc w:val="both"/>
        <w:rPr>
          <w:b w:val="0"/>
          <w:i w:val="0"/>
          <w:sz w:val="26"/>
        </w:rPr>
      </w:pPr>
      <w:r w:rsidRPr="00C2468C">
        <w:rPr>
          <w:b w:val="0"/>
          <w:i w:val="0"/>
          <w:sz w:val="26"/>
        </w:rPr>
        <w:t>Директор департаменту</w:t>
      </w:r>
    </w:p>
    <w:p w:rsidR="00C2468C" w:rsidRPr="00C2468C" w:rsidRDefault="00C2468C" w:rsidP="00C2468C">
      <w:pPr>
        <w:pStyle w:val="a8"/>
        <w:jc w:val="both"/>
        <w:rPr>
          <w:b w:val="0"/>
          <w:i w:val="0"/>
          <w:sz w:val="26"/>
        </w:rPr>
      </w:pPr>
      <w:r w:rsidRPr="00C2468C">
        <w:rPr>
          <w:b w:val="0"/>
          <w:i w:val="0"/>
          <w:sz w:val="26"/>
        </w:rPr>
        <w:t xml:space="preserve"> фінансів та бюджету                                                                           Лілія ЄЛОВА</w:t>
      </w:r>
    </w:p>
    <w:p w:rsidR="00C2468C" w:rsidRPr="00C2468C" w:rsidRDefault="00C2468C" w:rsidP="00C2468C">
      <w:pPr>
        <w:jc w:val="both"/>
      </w:pPr>
    </w:p>
    <w:p w:rsidR="00C2468C" w:rsidRPr="002D1EA2" w:rsidRDefault="00C2468C">
      <w:pPr>
        <w:rPr>
          <w:rFonts w:ascii="Times New Roman" w:hAnsi="Times New Roman" w:cs="Times New Roman"/>
          <w:sz w:val="24"/>
          <w:szCs w:val="24"/>
        </w:rPr>
      </w:pPr>
    </w:p>
    <w:sectPr w:rsidR="00C2468C" w:rsidRPr="002D1EA2" w:rsidSect="005721A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C2FD0"/>
    <w:rsid w:val="000236E4"/>
    <w:rsid w:val="00177936"/>
    <w:rsid w:val="001C2CD7"/>
    <w:rsid w:val="002D1EA2"/>
    <w:rsid w:val="00366318"/>
    <w:rsid w:val="004013D8"/>
    <w:rsid w:val="00430FB6"/>
    <w:rsid w:val="0046296D"/>
    <w:rsid w:val="004B653A"/>
    <w:rsid w:val="004C2FD0"/>
    <w:rsid w:val="005721A6"/>
    <w:rsid w:val="006D4334"/>
    <w:rsid w:val="007A47BF"/>
    <w:rsid w:val="00815D99"/>
    <w:rsid w:val="00826EB9"/>
    <w:rsid w:val="00831C35"/>
    <w:rsid w:val="008B6005"/>
    <w:rsid w:val="008E2F86"/>
    <w:rsid w:val="009878DD"/>
    <w:rsid w:val="00A21829"/>
    <w:rsid w:val="00A75D73"/>
    <w:rsid w:val="00AA66A5"/>
    <w:rsid w:val="00C2468C"/>
    <w:rsid w:val="00C603D6"/>
    <w:rsid w:val="00CC7D2A"/>
    <w:rsid w:val="00DB2889"/>
    <w:rsid w:val="00DF0DBC"/>
    <w:rsid w:val="00EB447B"/>
    <w:rsid w:val="00ED1019"/>
    <w:rsid w:val="00EF76AD"/>
    <w:rsid w:val="00F566AD"/>
    <w:rsid w:val="00FA3C4E"/>
    <w:rsid w:val="00FC447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1A6"/>
  </w:style>
  <w:style w:type="paragraph" w:styleId="1">
    <w:name w:val="heading 1"/>
    <w:basedOn w:val="a"/>
    <w:link w:val="10"/>
    <w:uiPriority w:val="9"/>
    <w:qFormat/>
    <w:rsid w:val="004C2F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unhideWhenUsed/>
    <w:qFormat/>
    <w:rsid w:val="00F566A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2FD0"/>
    <w:rPr>
      <w:rFonts w:ascii="Times New Roman" w:eastAsia="Times New Roman" w:hAnsi="Times New Roman" w:cs="Times New Roman"/>
      <w:b/>
      <w:bCs/>
      <w:kern w:val="36"/>
      <w:sz w:val="48"/>
      <w:szCs w:val="48"/>
      <w:lang w:eastAsia="uk-UA"/>
    </w:rPr>
  </w:style>
  <w:style w:type="numbering" w:customStyle="1" w:styleId="11">
    <w:name w:val="Немає списку1"/>
    <w:next w:val="a2"/>
    <w:uiPriority w:val="99"/>
    <w:semiHidden/>
    <w:unhideWhenUsed/>
    <w:rsid w:val="004C2FD0"/>
  </w:style>
  <w:style w:type="paragraph" w:styleId="a3">
    <w:name w:val="Normal (Web)"/>
    <w:basedOn w:val="a"/>
    <w:uiPriority w:val="99"/>
    <w:unhideWhenUsed/>
    <w:rsid w:val="004C2FD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4C2FD0"/>
    <w:rPr>
      <w:b/>
      <w:bCs/>
    </w:rPr>
  </w:style>
  <w:style w:type="character" w:styleId="a5">
    <w:name w:val="Emphasis"/>
    <w:basedOn w:val="a0"/>
    <w:qFormat/>
    <w:rsid w:val="004C2FD0"/>
    <w:rPr>
      <w:i/>
      <w:iCs/>
    </w:rPr>
  </w:style>
  <w:style w:type="character" w:styleId="a6">
    <w:name w:val="Hyperlink"/>
    <w:basedOn w:val="a0"/>
    <w:uiPriority w:val="99"/>
    <w:semiHidden/>
    <w:unhideWhenUsed/>
    <w:rsid w:val="004C2FD0"/>
    <w:rPr>
      <w:color w:val="0000FF"/>
      <w:u w:val="single"/>
    </w:rPr>
  </w:style>
  <w:style w:type="character" w:styleId="a7">
    <w:name w:val="FollowedHyperlink"/>
    <w:basedOn w:val="a0"/>
    <w:uiPriority w:val="99"/>
    <w:semiHidden/>
    <w:unhideWhenUsed/>
    <w:rsid w:val="004C2FD0"/>
    <w:rPr>
      <w:color w:val="800080"/>
      <w:u w:val="single"/>
    </w:rPr>
  </w:style>
  <w:style w:type="paragraph" w:styleId="HTML">
    <w:name w:val="HTML Preformatted"/>
    <w:basedOn w:val="a"/>
    <w:link w:val="HTML0"/>
    <w:semiHidden/>
    <w:unhideWhenUsed/>
    <w:rsid w:val="004C2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semiHidden/>
    <w:rsid w:val="004C2FD0"/>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F566AD"/>
    <w:rPr>
      <w:rFonts w:asciiTheme="majorHAnsi" w:eastAsiaTheme="majorEastAsia" w:hAnsiTheme="majorHAnsi" w:cstheme="majorBidi"/>
      <w:b/>
      <w:bCs/>
      <w:color w:val="4F81BD" w:themeColor="accent1"/>
      <w:sz w:val="26"/>
      <w:szCs w:val="26"/>
    </w:rPr>
  </w:style>
  <w:style w:type="paragraph" w:styleId="a8">
    <w:name w:val="Body Text"/>
    <w:basedOn w:val="a"/>
    <w:link w:val="a9"/>
    <w:rsid w:val="00F566AD"/>
    <w:pPr>
      <w:spacing w:after="0" w:line="240" w:lineRule="auto"/>
      <w:jc w:val="center"/>
    </w:pPr>
    <w:rPr>
      <w:rFonts w:ascii="Times New Roman" w:eastAsia="Times New Roman" w:hAnsi="Times New Roman" w:cs="Times New Roman"/>
      <w:b/>
      <w:i/>
      <w:sz w:val="32"/>
      <w:szCs w:val="32"/>
      <w:lang w:eastAsia="ru-RU"/>
    </w:rPr>
  </w:style>
  <w:style w:type="character" w:customStyle="1" w:styleId="a9">
    <w:name w:val="Основной текст Знак"/>
    <w:basedOn w:val="a0"/>
    <w:link w:val="a8"/>
    <w:rsid w:val="00F566AD"/>
    <w:rPr>
      <w:rFonts w:ascii="Times New Roman" w:eastAsia="Times New Roman" w:hAnsi="Times New Roman" w:cs="Times New Roman"/>
      <w:b/>
      <w:i/>
      <w:sz w:val="32"/>
      <w:szCs w:val="32"/>
      <w:lang w:eastAsia="ru-RU"/>
    </w:rPr>
  </w:style>
  <w:style w:type="paragraph" w:customStyle="1" w:styleId="rvps14">
    <w:name w:val="rvps14"/>
    <w:basedOn w:val="a"/>
    <w:rsid w:val="00F566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F566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01">
    <w:name w:val="Основной текст + 101"/>
    <w:aliases w:val="5 pt1,Интервал 0 pt1"/>
    <w:rsid w:val="00F566AD"/>
    <w:rPr>
      <w:b/>
      <w:i/>
      <w:spacing w:val="3"/>
      <w:sz w:val="21"/>
      <w:szCs w:val="21"/>
      <w:lang w:val="uk-UA" w:eastAsia="ru-RU" w:bidi="ar-SA"/>
    </w:rPr>
  </w:style>
  <w:style w:type="paragraph" w:customStyle="1" w:styleId="rvps2">
    <w:name w:val="rvps2"/>
    <w:basedOn w:val="a"/>
    <w:rsid w:val="00F566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1">
    <w:name w:val="Стиль2"/>
    <w:basedOn w:val="aa"/>
    <w:rsid w:val="00F566AD"/>
  </w:style>
  <w:style w:type="character" w:styleId="aa">
    <w:name w:val="line number"/>
    <w:basedOn w:val="a0"/>
    <w:uiPriority w:val="99"/>
    <w:semiHidden/>
    <w:unhideWhenUsed/>
    <w:rsid w:val="00F566AD"/>
  </w:style>
  <w:style w:type="paragraph" w:styleId="ab">
    <w:name w:val="Balloon Text"/>
    <w:basedOn w:val="a"/>
    <w:link w:val="ac"/>
    <w:uiPriority w:val="99"/>
    <w:semiHidden/>
    <w:unhideWhenUsed/>
    <w:rsid w:val="00831C3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1C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2F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unhideWhenUsed/>
    <w:qFormat/>
    <w:rsid w:val="00F566A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2FD0"/>
    <w:rPr>
      <w:rFonts w:ascii="Times New Roman" w:eastAsia="Times New Roman" w:hAnsi="Times New Roman" w:cs="Times New Roman"/>
      <w:b/>
      <w:bCs/>
      <w:kern w:val="36"/>
      <w:sz w:val="48"/>
      <w:szCs w:val="48"/>
      <w:lang w:eastAsia="uk-UA"/>
    </w:rPr>
  </w:style>
  <w:style w:type="numbering" w:customStyle="1" w:styleId="11">
    <w:name w:val="Немає списку1"/>
    <w:next w:val="a2"/>
    <w:uiPriority w:val="99"/>
    <w:semiHidden/>
    <w:unhideWhenUsed/>
    <w:rsid w:val="004C2FD0"/>
  </w:style>
  <w:style w:type="paragraph" w:styleId="a3">
    <w:name w:val="Normal (Web)"/>
    <w:basedOn w:val="a"/>
    <w:uiPriority w:val="99"/>
    <w:unhideWhenUsed/>
    <w:rsid w:val="004C2FD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4C2FD0"/>
    <w:rPr>
      <w:b/>
      <w:bCs/>
    </w:rPr>
  </w:style>
  <w:style w:type="character" w:styleId="a5">
    <w:name w:val="Emphasis"/>
    <w:basedOn w:val="a0"/>
    <w:qFormat/>
    <w:rsid w:val="004C2FD0"/>
    <w:rPr>
      <w:i/>
      <w:iCs/>
    </w:rPr>
  </w:style>
  <w:style w:type="character" w:styleId="a6">
    <w:name w:val="Hyperlink"/>
    <w:basedOn w:val="a0"/>
    <w:uiPriority w:val="99"/>
    <w:semiHidden/>
    <w:unhideWhenUsed/>
    <w:rsid w:val="004C2FD0"/>
    <w:rPr>
      <w:color w:val="0000FF"/>
      <w:u w:val="single"/>
    </w:rPr>
  </w:style>
  <w:style w:type="character" w:styleId="a7">
    <w:name w:val="FollowedHyperlink"/>
    <w:basedOn w:val="a0"/>
    <w:uiPriority w:val="99"/>
    <w:semiHidden/>
    <w:unhideWhenUsed/>
    <w:rsid w:val="004C2FD0"/>
    <w:rPr>
      <w:color w:val="800080"/>
      <w:u w:val="single"/>
    </w:rPr>
  </w:style>
  <w:style w:type="paragraph" w:styleId="HTML">
    <w:name w:val="HTML Preformatted"/>
    <w:basedOn w:val="a"/>
    <w:link w:val="HTML0"/>
    <w:semiHidden/>
    <w:unhideWhenUsed/>
    <w:rsid w:val="004C2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semiHidden/>
    <w:rsid w:val="004C2FD0"/>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F566AD"/>
    <w:rPr>
      <w:rFonts w:asciiTheme="majorHAnsi" w:eastAsiaTheme="majorEastAsia" w:hAnsiTheme="majorHAnsi" w:cstheme="majorBidi"/>
      <w:b/>
      <w:bCs/>
      <w:color w:val="4F81BD" w:themeColor="accent1"/>
      <w:sz w:val="26"/>
      <w:szCs w:val="26"/>
    </w:rPr>
  </w:style>
  <w:style w:type="paragraph" w:styleId="a8">
    <w:name w:val="Body Text"/>
    <w:basedOn w:val="a"/>
    <w:link w:val="a9"/>
    <w:rsid w:val="00F566AD"/>
    <w:pPr>
      <w:spacing w:after="0" w:line="240" w:lineRule="auto"/>
      <w:jc w:val="center"/>
    </w:pPr>
    <w:rPr>
      <w:rFonts w:ascii="Times New Roman" w:eastAsia="Times New Roman" w:hAnsi="Times New Roman" w:cs="Times New Roman"/>
      <w:b/>
      <w:i/>
      <w:sz w:val="32"/>
      <w:szCs w:val="32"/>
      <w:lang w:eastAsia="ru-RU"/>
    </w:rPr>
  </w:style>
  <w:style w:type="character" w:customStyle="1" w:styleId="a9">
    <w:name w:val="Основной текст Знак"/>
    <w:basedOn w:val="a0"/>
    <w:link w:val="a8"/>
    <w:rsid w:val="00F566AD"/>
    <w:rPr>
      <w:rFonts w:ascii="Times New Roman" w:eastAsia="Times New Roman" w:hAnsi="Times New Roman" w:cs="Times New Roman"/>
      <w:b/>
      <w:i/>
      <w:sz w:val="32"/>
      <w:szCs w:val="32"/>
      <w:lang w:eastAsia="ru-RU"/>
    </w:rPr>
  </w:style>
  <w:style w:type="paragraph" w:customStyle="1" w:styleId="rvps14">
    <w:name w:val="rvps14"/>
    <w:basedOn w:val="a"/>
    <w:rsid w:val="00F566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F566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01">
    <w:name w:val="Основной текст + 101"/>
    <w:aliases w:val="5 pt1,Интервал 0 pt1"/>
    <w:rsid w:val="00F566AD"/>
    <w:rPr>
      <w:b/>
      <w:i/>
      <w:spacing w:val="3"/>
      <w:sz w:val="21"/>
      <w:szCs w:val="21"/>
      <w:lang w:val="uk-UA" w:eastAsia="ru-RU" w:bidi="ar-SA"/>
    </w:rPr>
  </w:style>
  <w:style w:type="paragraph" w:customStyle="1" w:styleId="rvps2">
    <w:name w:val="rvps2"/>
    <w:basedOn w:val="a"/>
    <w:rsid w:val="00F566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1">
    <w:name w:val="Стиль2"/>
    <w:basedOn w:val="aa"/>
    <w:rsid w:val="00F566AD"/>
  </w:style>
  <w:style w:type="character" w:styleId="aa">
    <w:name w:val="line number"/>
    <w:basedOn w:val="a0"/>
    <w:uiPriority w:val="99"/>
    <w:semiHidden/>
    <w:unhideWhenUsed/>
    <w:rsid w:val="00F566AD"/>
  </w:style>
  <w:style w:type="paragraph" w:styleId="ab">
    <w:name w:val="Balloon Text"/>
    <w:basedOn w:val="a"/>
    <w:link w:val="ac"/>
    <w:uiPriority w:val="99"/>
    <w:semiHidden/>
    <w:unhideWhenUsed/>
    <w:rsid w:val="00831C3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1C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385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5CCB4A8-8108-42D7-A077-4FEBF4934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24</Pages>
  <Words>32717</Words>
  <Characters>18649</Characters>
  <Application>Microsoft Office Word</Application>
  <DocSecurity>0</DocSecurity>
  <Lines>155</Lines>
  <Paragraphs>102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Гаврилевський</dc:creator>
  <cp:lastModifiedBy>Acer</cp:lastModifiedBy>
  <cp:revision>10</cp:revision>
  <cp:lastPrinted>2020-05-20T07:39:00Z</cp:lastPrinted>
  <dcterms:created xsi:type="dcterms:W3CDTF">2020-05-19T22:32:00Z</dcterms:created>
  <dcterms:modified xsi:type="dcterms:W3CDTF">2020-05-20T09:28:00Z</dcterms:modified>
</cp:coreProperties>
</file>