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15D" w:rsidRPr="006D46E7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АНАЛІЗ РЕГУЛЯТОРНОГО ВПЛИВУ</w:t>
      </w:r>
    </w:p>
    <w:p w:rsidR="0061715D" w:rsidRPr="006D46E7" w:rsidRDefault="003C3AC6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</w:t>
      </w:r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кту</w:t>
      </w:r>
      <w:proofErr w:type="spellEnd"/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рішення </w:t>
      </w:r>
      <w:r w:rsidR="00713378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Луцької</w:t>
      </w:r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</w:t>
      </w:r>
    </w:p>
    <w:p w:rsidR="0061715D" w:rsidRPr="006D46E7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«Про встановлення став</w:t>
      </w:r>
      <w:r w:rsidR="00713378" w:rsidRPr="006D4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ок</w:t>
      </w:r>
      <w:r w:rsidRPr="006D4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 xml:space="preserve"> туристичного збору»</w:t>
      </w:r>
    </w:p>
    <w:p w:rsidR="0061715D" w:rsidRPr="006D46E7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I. Визначення проблеми</w:t>
      </w:r>
    </w:p>
    <w:p w:rsidR="0061715D" w:rsidRPr="006D46E7" w:rsidRDefault="0061715D" w:rsidP="0071337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Згідно зі статтею 10 та пунктом 12.3 статті 12 Податкового кодексу України законодавчо закріплено право органів місцевого самоврядування встановлювати місцеві податки та збори в межах своїх повноважень.</w:t>
      </w:r>
    </w:p>
    <w:p w:rsidR="00713378" w:rsidRPr="006D46E7" w:rsidRDefault="0061715D" w:rsidP="00713378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Податковим кодексом України визначено, що органи місцевого самоврядування приймають рішення про встановлення місцевих податків та зборів та офіційно оприлюднюють до 15 липня року, що передує бюджетному періоду, в якому планується їх застосування</w:t>
      </w:r>
      <w:r w:rsidR="00713378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</w:t>
      </w:r>
    </w:p>
    <w:p w:rsidR="0061715D" w:rsidRPr="006D46E7" w:rsidRDefault="0061715D" w:rsidP="006D46E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 пункту 12.3.5 статті 12 Податкового кодексу України, якщо міська рада </w:t>
      </w:r>
      <w:hyperlink r:id="rId5" w:tgtFrame="_top" w:history="1">
        <w:r w:rsidRPr="006D46E7">
          <w:rPr>
            <w:rFonts w:ascii="Times New Roman" w:eastAsia="Times New Roman" w:hAnsi="Times New Roman" w:cs="Times New Roman"/>
            <w:color w:val="0077FF"/>
            <w:sz w:val="24"/>
            <w:szCs w:val="24"/>
            <w:lang w:eastAsia="uk-UA"/>
          </w:rPr>
          <w:t>не прийняла рішення про встановлення відповідних місцевих податків і зборів, що є обов'язковими згідно з нормами Податкового кодексу України, такі податки до прийняття рішення справляються виходячи з норм Податкового кодексу із застосуванням їх мінімальних ставок.</w:t>
        </w:r>
      </w:hyperlink>
    </w:p>
    <w:p w:rsidR="0061715D" w:rsidRPr="006D46E7" w:rsidRDefault="0061715D" w:rsidP="006D46E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Аналіз регуляторного впливу </w:t>
      </w:r>
      <w:proofErr w:type="spellStart"/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</w:t>
      </w:r>
      <w:r w:rsidR="00713378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є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кту</w:t>
      </w:r>
      <w:proofErr w:type="spellEnd"/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рішення </w:t>
      </w:r>
      <w:r w:rsidR="00713378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Луцької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міської ради «Про встановлення став</w:t>
      </w:r>
      <w:r w:rsidR="00713378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 туристичного збору»</w:t>
      </w:r>
      <w:r w:rsidR="00713378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підготовлено відповідно до вимог Закону України від 11.03.2003 № 1160-IV«Про засади державної регуляторної політики у сфері господарської діяльності», Методики проведення аналізу впливу регуляторного акту, затвердженої постановою Кабінету Міністрів України від 11.03.2004 № 308 із змінами.</w:t>
      </w:r>
    </w:p>
    <w:p w:rsidR="0061715D" w:rsidRPr="006D46E7" w:rsidRDefault="00713378" w:rsidP="006D46E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</w:t>
      </w:r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метою виконання вимог Податкового кодексу України, недопущення суперечливих ситуацій, забезпечення дохідної частини бюджету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громади</w:t>
      </w:r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виконання програм соціа</w:t>
      </w:r>
      <w:r w:rsidR="003C3A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льно-економічного розвитку громади</w:t>
      </w:r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пропонується прийняти рішення міської ради «Про встановлення став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ок</w:t>
      </w:r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туристичного збору». Прийняття рішення необхідне для прозорого та ефективного встановлення ставок із сплати туристичного збору.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Відсутність регулювання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туристичного збору може привести до невиконання вимог чинного законодавства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України.</w:t>
      </w:r>
    </w:p>
    <w:p w:rsidR="0061715D" w:rsidRPr="006D46E7" w:rsidRDefault="0061715D" w:rsidP="006D46E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Метою розроблення даного </w:t>
      </w:r>
      <w:proofErr w:type="spellStart"/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</w:t>
      </w:r>
      <w:r w:rsidR="00713378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є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кту</w:t>
      </w:r>
      <w:proofErr w:type="spellEnd"/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рішення є забезпечення надходжень до бюджету</w:t>
      </w:r>
      <w:r w:rsidR="00713378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громади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(обсяг яких у 2019 році склав </w:t>
      </w:r>
      <w:r w:rsidR="00713378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587,6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тис. грн), </w:t>
      </w:r>
      <w:r w:rsidR="00C93759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ідносин</w:t>
      </w:r>
      <w:r w:rsidR="00C93759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и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щодо сплати туристичного збору, платниками якого є громадяни України, іноземці, а також особи без громадянства, які прибувають на територію </w:t>
      </w:r>
      <w:r w:rsidR="00C93759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Луцької міської територіальної громади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на якій діє рішення </w:t>
      </w:r>
      <w:r w:rsidR="00C93759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Луцької міс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ької ради про встановлення туристичного збору, та тимчасово розміщуються у місцях проживання (ночівлі), визначених </w:t>
      </w:r>
      <w:hyperlink r:id="rId6" w:anchor="n11901" w:history="1">
        <w:r w:rsidRPr="006D46E7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підпунктом 268.5.1</w:t>
        </w:r>
      </w:hyperlink>
      <w:r w:rsidRPr="006D46E7">
        <w:rPr>
          <w:rFonts w:ascii="Times New Roman" w:eastAsia="Times New Roman" w:hAnsi="Times New Roman" w:cs="Times New Roman"/>
          <w:sz w:val="24"/>
          <w:szCs w:val="24"/>
          <w:lang w:eastAsia="uk-UA"/>
        </w:rPr>
        <w:t>пункту 268.5 статті 258 Податкового кодексу України (далі – Податковий кодекс).</w:t>
      </w:r>
    </w:p>
    <w:p w:rsidR="0061715D" w:rsidRPr="006D46E7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7"/>
        <w:gridCol w:w="2612"/>
        <w:gridCol w:w="2266"/>
      </w:tblGrid>
      <w:tr w:rsidR="0061715D" w:rsidRPr="006D46E7" w:rsidTr="0061715D"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Групи (підгрупи)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Так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Ні</w:t>
            </w:r>
          </w:p>
        </w:tc>
      </w:tr>
      <w:tr w:rsidR="0061715D" w:rsidRPr="006D46E7" w:rsidTr="0061715D"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Громадяни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61715D" w:rsidRPr="006D46E7" w:rsidTr="0061715D"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Орани</w:t>
            </w:r>
            <w:proofErr w:type="spellEnd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місцевого самоврядування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61715D" w:rsidRPr="006D46E7" w:rsidTr="0061715D"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Суб'єкти господарювання,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  <w:tr w:rsidR="0061715D" w:rsidRPr="006D46E7" w:rsidTr="0061715D"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 тому числі суб'єкти малого підприємництва*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V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</w:tbl>
    <w:p w:rsidR="0061715D" w:rsidRPr="006D46E7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61715D" w:rsidRPr="006D46E7" w:rsidRDefault="0061715D" w:rsidP="006D46E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 чинного законодавства повноваження щодо встановлення місцевих податків і зборів є виключно компетенцією органів місцевого самоврядування. Застосування процедури не має альтернатив, проблема встановлення місцевих податків і зборів не може бути розв’язана за допомогою ринкових механізмів.</w:t>
      </w:r>
    </w:p>
    <w:p w:rsidR="0061715D" w:rsidRPr="006D46E7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lastRenderedPageBreak/>
        <w:t>II. Цілі державного регулювання</w:t>
      </w:r>
    </w:p>
    <w:p w:rsidR="0061715D" w:rsidRPr="006D46E7" w:rsidRDefault="0061715D" w:rsidP="006D46E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Основною метою прийняття відповідного рішення є виконання вимог ст.ст. 10, 12, </w:t>
      </w:r>
      <w:proofErr w:type="spellStart"/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абз</w:t>
      </w:r>
      <w:proofErr w:type="spellEnd"/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 2,3 п. 284.1 ст. 284 Податкового кодексу України, що дозволить забезпечити відповідність розмірів ставок законодавчим вимогам та надасть можливість отримання надходжень до бюджету.</w:t>
      </w:r>
    </w:p>
    <w:p w:rsidR="0061715D" w:rsidRPr="006D46E7" w:rsidRDefault="003C3AC6" w:rsidP="006D46E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</w:t>
      </w:r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</w:t>
      </w:r>
      <w:proofErr w:type="spellEnd"/>
      <w:r w:rsidR="0061715D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регуляторного акта спрямований на розв’язання проблеми, визначеною в попередньому розділі АРВ в цілому,основними цілями його прийняття є:</w:t>
      </w:r>
    </w:p>
    <w:p w:rsidR="0061715D" w:rsidRPr="006D46E7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відкритість процедури, прозорість дій органу місцевого самоврядування при вирішенні питань, пов’язаних із забезпеченням дотримання вимог податкового законодавства зі справляння туристичного збору;</w:t>
      </w:r>
    </w:p>
    <w:p w:rsidR="0061715D" w:rsidRPr="006D46E7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- наповнення доходної частини бюджету</w:t>
      </w:r>
      <w:r w:rsidR="00C93759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громади</w:t>
      </w: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на виконання власних повноважень.</w:t>
      </w:r>
    </w:p>
    <w:p w:rsidR="0061715D" w:rsidRPr="006D46E7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61715D" w:rsidRPr="006D46E7" w:rsidRDefault="0061715D" w:rsidP="006D46E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III. Визначення та оцінка альтернативних способів досягнення цілей</w:t>
      </w:r>
    </w:p>
    <w:p w:rsidR="0061715D" w:rsidRPr="006D46E7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1. Визначення альтернативних способів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36"/>
        <w:gridCol w:w="5819"/>
      </w:tblGrid>
      <w:tr w:rsidR="0061715D" w:rsidRPr="006D46E7" w:rsidTr="0061715D"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Вид альтернативи</w:t>
            </w:r>
          </w:p>
        </w:tc>
        <w:tc>
          <w:tcPr>
            <w:tcW w:w="1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Опис альтернативи</w:t>
            </w:r>
          </w:p>
        </w:tc>
      </w:tr>
      <w:tr w:rsidR="0061715D" w:rsidRPr="006D46E7" w:rsidTr="0061715D"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Альтернатива1 </w:t>
            </w:r>
          </w:p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Не прийняття регуляторного акту</w:t>
            </w:r>
          </w:p>
        </w:tc>
        <w:tc>
          <w:tcPr>
            <w:tcW w:w="1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По закінченню 2020 року діюче на території </w:t>
            </w:r>
            <w:r w:rsidR="00C93759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Луцької міської територіальної громади рішення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про встановлення туристичного збору має бути скасовано, як таке, що не пройшло регуляторну процедуру і не поширюється на подальші періоди. Потенційні платники податків залишаться без нормативного акта, що регулюватиме відносини  між ними та </w:t>
            </w:r>
            <w:r w:rsidR="00C93759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Луцькою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міською радою. Відповідно до статті 12 Податкового кодексу України, податок справлятиметься із застосуванням мінімальної ставки збору, що призведе до </w:t>
            </w:r>
            <w:r w:rsidR="00C93759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втрат понад 600,0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тис. грн. Питання нарахування та сплати збору на території громади буде не врегульовано.</w:t>
            </w:r>
          </w:p>
        </w:tc>
      </w:tr>
      <w:tr w:rsidR="0061715D" w:rsidRPr="006D46E7" w:rsidTr="0061715D">
        <w:tc>
          <w:tcPr>
            <w:tcW w:w="7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2</w:t>
            </w:r>
            <w:r w:rsid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</w:t>
            </w:r>
          </w:p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Прийняття регуляторного акта відповідно до Податкового кодексу України.</w:t>
            </w:r>
          </w:p>
        </w:tc>
        <w:tc>
          <w:tcPr>
            <w:tcW w:w="12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Застосування даної альтернативи є найбільш прийнятною. З введенням в дію запропонованого регуляторного акта, відносини між платниками туристичного збору, органами податкової служби та органами місцевого самоврядування, з питань сплати туристичного збору, будуть упорядковані. Встановлення ставки туристичного збору дасть можливість  забезпечити  надходження до місцевого бюджету коштів у 2021роців розмірі понад </w:t>
            </w:r>
            <w:r w:rsidR="00C93759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  <w:r w:rsidR="003C3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C3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тис.грн</w:t>
            </w:r>
            <w:proofErr w:type="spellEnd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в подальшому враховуючи підвищення привабливості території громади для туризму дозволить збільшити обсяг надходжень.</w:t>
            </w:r>
          </w:p>
        </w:tc>
      </w:tr>
    </w:tbl>
    <w:p w:rsidR="0061715D" w:rsidRPr="006D46E7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</w:t>
      </w:r>
    </w:p>
    <w:p w:rsidR="0061715D" w:rsidRPr="006D46E7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</w:t>
      </w:r>
      <w:r w:rsidRPr="006D4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2. Оцінка вибраних альтернативних способів досягнення цілей</w:t>
      </w:r>
    </w:p>
    <w:p w:rsidR="0061715D" w:rsidRPr="003C3AC6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uk-UA"/>
        </w:rPr>
      </w:pPr>
      <w:r w:rsidRPr="003C3AC6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uk-UA"/>
        </w:rPr>
        <w:t>Оцінка впливу на сферу інтересів органів місцевого самоврядування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7"/>
        <w:gridCol w:w="2957"/>
        <w:gridCol w:w="3411"/>
      </w:tblGrid>
      <w:tr w:rsidR="0061715D" w:rsidRPr="006D46E7" w:rsidTr="0061715D"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Вид альтернативи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Витрати</w:t>
            </w:r>
          </w:p>
        </w:tc>
      </w:tr>
      <w:tr w:rsidR="0061715D" w:rsidRPr="006D46E7" w:rsidTr="0061715D"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Альтернатива1</w:t>
            </w:r>
          </w:p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Не прийняття регуляторного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акта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Вигоди відсутні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 відсутні</w:t>
            </w:r>
          </w:p>
        </w:tc>
      </w:tr>
      <w:tr w:rsidR="0061715D" w:rsidRPr="006D46E7" w:rsidTr="0061715D"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Альтернатива 2    </w:t>
            </w:r>
          </w:p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Прийняття регуляторного акта відповідно до Податкового кодексу України.</w:t>
            </w:r>
          </w:p>
        </w:tc>
        <w:tc>
          <w:tcPr>
            <w:tcW w:w="6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Забезпечення надходжень до бюджету</w:t>
            </w:r>
            <w:r w:rsidR="00C93759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громади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від сплати туристичного збору</w:t>
            </w:r>
            <w:r w:rsidR="00C93759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 розмірі понад </w:t>
            </w:r>
            <w:r w:rsidR="00C93759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тис.грн</w:t>
            </w:r>
            <w:proofErr w:type="spellEnd"/>
            <w:r w:rsid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 подальшому підвищення привабливості території громади.</w:t>
            </w:r>
          </w:p>
        </w:tc>
        <w:tc>
          <w:tcPr>
            <w:tcW w:w="7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 на підготовку проекту регуляторного акту, АРВ, засідання робочої групи, оприлюднення регуляторного акту, відстеження результативності впровадження регуляторного акта</w:t>
            </w:r>
          </w:p>
        </w:tc>
      </w:tr>
    </w:tbl>
    <w:p w:rsidR="0061715D" w:rsidRPr="003C3AC6" w:rsidRDefault="0061715D" w:rsidP="0061715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color w:val="333333"/>
          <w:sz w:val="20"/>
          <w:szCs w:val="20"/>
          <w:lang w:eastAsia="uk-UA"/>
        </w:rPr>
      </w:pPr>
      <w:r w:rsidRPr="003C3AC6">
        <w:rPr>
          <w:rFonts w:ascii="Helvetica" w:eastAsia="Times New Roman" w:hAnsi="Helvetica" w:cs="Helvetica"/>
          <w:b/>
          <w:i/>
          <w:iCs/>
          <w:color w:val="333333"/>
          <w:sz w:val="20"/>
          <w:szCs w:val="20"/>
          <w:lang w:eastAsia="uk-UA"/>
        </w:rPr>
        <w:t>Оцінка впливу на сферу інтересів громадян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23"/>
        <w:gridCol w:w="3496"/>
        <w:gridCol w:w="2836"/>
      </w:tblGrid>
      <w:tr w:rsidR="0061715D" w:rsidRPr="006D46E7" w:rsidTr="0061715D"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Вид альтернативи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Витрати</w:t>
            </w:r>
          </w:p>
        </w:tc>
      </w:tr>
      <w:tr w:rsidR="0061715D" w:rsidRPr="006D46E7" w:rsidTr="0061715D"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1</w:t>
            </w:r>
          </w:p>
          <w:p w:rsidR="0061715D" w:rsidRPr="006D46E7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Не прийняття регуляторного акта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Вигоди відсутні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 відсутні</w:t>
            </w:r>
          </w:p>
        </w:tc>
      </w:tr>
      <w:tr w:rsidR="0061715D" w:rsidRPr="006D46E7" w:rsidTr="006D46E7">
        <w:trPr>
          <w:trHeight w:val="2347"/>
        </w:trPr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2     </w:t>
            </w:r>
          </w:p>
          <w:p w:rsidR="0061715D" w:rsidRPr="006D46E7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Прийняття регуляторного акта</w:t>
            </w:r>
          </w:p>
          <w:p w:rsidR="0061715D" w:rsidRPr="006D46E7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відповідно до Податкового кодексу України.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Забезпечує досягнення цілей державного регулювання.</w:t>
            </w:r>
            <w:r w:rsid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Враховує пропозиції фізичних та юридичних осіб, які п</w:t>
            </w:r>
            <w:r w:rsidR="003C3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рийняли участь в обговорені </w:t>
            </w:r>
            <w:proofErr w:type="spellStart"/>
            <w:r w:rsidR="003C3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проє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кту</w:t>
            </w:r>
            <w:proofErr w:type="spellEnd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рішення.Підвищує</w:t>
            </w:r>
            <w:proofErr w:type="spellEnd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привабливість території громади для туризму.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 відсутні</w:t>
            </w:r>
          </w:p>
        </w:tc>
      </w:tr>
    </w:tbl>
    <w:p w:rsidR="0061715D" w:rsidRPr="006D46E7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Оцінка впливу на сферу інтересів суб'єктів господарювання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03"/>
        <w:gridCol w:w="1214"/>
        <w:gridCol w:w="1378"/>
        <w:gridCol w:w="1287"/>
        <w:gridCol w:w="1376"/>
        <w:gridCol w:w="1297"/>
      </w:tblGrid>
      <w:tr w:rsidR="0061715D" w:rsidRPr="006D46E7" w:rsidTr="0061715D"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Великі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Середні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Малі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Мікро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Разом</w:t>
            </w:r>
          </w:p>
        </w:tc>
      </w:tr>
      <w:tr w:rsidR="0061715D" w:rsidRPr="006D46E7" w:rsidTr="0061715D"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Кількість суб'єктів господарювання, що підпадають під дію регулювання, одиниць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C9375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C9375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28</w:t>
            </w:r>
          </w:p>
        </w:tc>
      </w:tr>
      <w:tr w:rsidR="0061715D" w:rsidRPr="006D46E7" w:rsidTr="0061715D">
        <w:trPr>
          <w:trHeight w:val="630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Питома вага групи у загальній кількості, відсотків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100%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100%</w:t>
            </w:r>
          </w:p>
        </w:tc>
      </w:tr>
    </w:tbl>
    <w:p w:rsidR="0061715D" w:rsidRPr="006D46E7" w:rsidRDefault="0061715D" w:rsidP="006171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91"/>
        <w:gridCol w:w="3563"/>
        <w:gridCol w:w="2801"/>
      </w:tblGrid>
      <w:tr w:rsidR="0061715D" w:rsidRPr="006D46E7" w:rsidTr="006D46E7"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Вид альтернативи</w:t>
            </w:r>
          </w:p>
        </w:tc>
        <w:tc>
          <w:tcPr>
            <w:tcW w:w="3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Вигоди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Витрати</w:t>
            </w:r>
          </w:p>
        </w:tc>
      </w:tr>
      <w:tr w:rsidR="0061715D" w:rsidRPr="006D46E7" w:rsidTr="006D46E7"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1</w:t>
            </w:r>
          </w:p>
          <w:p w:rsidR="0061715D" w:rsidRPr="006D46E7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Не прийняття регуляторного акта</w:t>
            </w:r>
          </w:p>
        </w:tc>
        <w:tc>
          <w:tcPr>
            <w:tcW w:w="3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Сплата податків за мінімальними ставками.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Витрати відсутні</w:t>
            </w:r>
          </w:p>
        </w:tc>
      </w:tr>
      <w:tr w:rsidR="0061715D" w:rsidRPr="006D46E7" w:rsidTr="006D46E7">
        <w:tc>
          <w:tcPr>
            <w:tcW w:w="3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2</w:t>
            </w:r>
          </w:p>
          <w:p w:rsidR="0061715D" w:rsidRPr="006D46E7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Прийняття регуляторного акта</w:t>
            </w:r>
          </w:p>
        </w:tc>
        <w:tc>
          <w:tcPr>
            <w:tcW w:w="3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C9375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Забезпечує досягнення цілей державного регулювання. Враховує пропоз</w:t>
            </w:r>
            <w:r w:rsidR="00C93759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иції фізичних та юридичних осіб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 Збільшує привабливість та території громади для туризму. Дозволяє наповнювати бюджет </w:t>
            </w:r>
            <w:r w:rsidR="00C93759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громади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власними надходженнями з метою подальшого вирішення соціально-економічних </w:t>
            </w:r>
            <w:proofErr w:type="spellStart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проблем.Забезпечує</w:t>
            </w:r>
            <w:proofErr w:type="spellEnd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прозорі та зрозумілі умови з питань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справляння туристичного збору.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Витрати відсутні</w:t>
            </w:r>
          </w:p>
        </w:tc>
      </w:tr>
    </w:tbl>
    <w:p w:rsidR="0061715D" w:rsidRPr="006D46E7" w:rsidRDefault="0061715D" w:rsidP="006171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 </w:t>
      </w:r>
    </w:p>
    <w:p w:rsidR="0061715D" w:rsidRPr="006D46E7" w:rsidRDefault="0061715D" w:rsidP="00C93759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Розрахунок витрат на одного суб’єкта господарювання великого і середнього підприємництва, які виникають внаслідок дії регуляторного акта, не проводився за причини відсутності суб’єктів господарювання великого і середнього підприємництва в адміністративно-територіальних межах </w:t>
      </w:r>
      <w:r w:rsidR="00220E40"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громади.</w:t>
      </w:r>
    </w:p>
    <w:p w:rsidR="0061715D" w:rsidRPr="006D46E7" w:rsidRDefault="0061715D" w:rsidP="00C9375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61715D" w:rsidRPr="006D46E7" w:rsidRDefault="0061715D" w:rsidP="006D46E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IV. Вибір найбільш оптимального альтернативного способу досягнення цілей</w:t>
      </w:r>
    </w:p>
    <w:p w:rsidR="0061715D" w:rsidRPr="006D46E7" w:rsidRDefault="0061715D" w:rsidP="006D46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Вартість балів визначається за чотирибальною системою оцінки ступеня досягнення визначених цілей, де:</w:t>
      </w:r>
    </w:p>
    <w:p w:rsidR="0061715D" w:rsidRPr="006D46E7" w:rsidRDefault="0061715D" w:rsidP="006D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4 - цілі прийняття регуляторного акта, які можуть бути досягнуті повною мірою (проблема більше існувати не буде);</w:t>
      </w:r>
    </w:p>
    <w:p w:rsidR="0061715D" w:rsidRPr="006D46E7" w:rsidRDefault="0061715D" w:rsidP="006D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3 -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61715D" w:rsidRPr="006D46E7" w:rsidRDefault="0061715D" w:rsidP="006D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2 -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61715D" w:rsidRPr="006D46E7" w:rsidRDefault="0061715D" w:rsidP="006D46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1 - цілі прийняття регуляторного акта, які не можуть бути досягнуті (проблема продовжує існувати).</w:t>
      </w:r>
    </w:p>
    <w:p w:rsidR="0061715D" w:rsidRPr="0061715D" w:rsidRDefault="0061715D" w:rsidP="006171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61715D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26"/>
        <w:gridCol w:w="3254"/>
        <w:gridCol w:w="2775"/>
      </w:tblGrid>
      <w:tr w:rsidR="0061715D" w:rsidRPr="006D46E7" w:rsidTr="0061715D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Коментарі щодо присвоєння відповідного бала</w:t>
            </w:r>
          </w:p>
        </w:tc>
      </w:tr>
      <w:tr w:rsidR="0061715D" w:rsidRPr="006D46E7" w:rsidTr="0061715D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6E7" w:rsidRDefault="0061715D" w:rsidP="006D46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1</w:t>
            </w:r>
          </w:p>
          <w:p w:rsidR="0061715D" w:rsidRPr="006D46E7" w:rsidRDefault="0061715D" w:rsidP="006D4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Не прийняття регуляторного акта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Суперечить вимогам абзацу другого пункту 284.1 статті 284 Податкового кодексу України</w:t>
            </w:r>
          </w:p>
        </w:tc>
      </w:tr>
      <w:tr w:rsidR="0061715D" w:rsidRPr="006D46E7" w:rsidTr="0061715D">
        <w:tc>
          <w:tcPr>
            <w:tcW w:w="7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2</w:t>
            </w:r>
            <w:r w:rsidR="006D46E7"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Прийняття регуляторного акта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Повністю відповідає потребам у вирішенні проблеми, забезпечує досягнення цілей державного регулювання</w:t>
            </w:r>
          </w:p>
        </w:tc>
      </w:tr>
    </w:tbl>
    <w:p w:rsidR="0061715D" w:rsidRPr="006D46E7" w:rsidRDefault="0061715D" w:rsidP="006171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D46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1"/>
        <w:gridCol w:w="2087"/>
        <w:gridCol w:w="1908"/>
        <w:gridCol w:w="3279"/>
      </w:tblGrid>
      <w:tr w:rsidR="0061715D" w:rsidRPr="006D46E7" w:rsidTr="0061715D"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Рейтинг результативності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Вигоди (підсумок)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Витрати (підсумок)</w:t>
            </w:r>
          </w:p>
        </w:tc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Обґрунтування відповідного місця альтернативи у рейтингу</w:t>
            </w:r>
          </w:p>
        </w:tc>
      </w:tr>
      <w:tr w:rsidR="0061715D" w:rsidRPr="006D46E7" w:rsidTr="0061715D"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1</w:t>
            </w:r>
          </w:p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Не прийняття регуляторного акта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Звітність </w:t>
            </w:r>
            <w:proofErr w:type="spellStart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понарахуванню</w:t>
            </w:r>
            <w:proofErr w:type="spellEnd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та сплаті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туристичного збору не подається до</w:t>
            </w:r>
          </w:p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контролюючого органу.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Обсяг</w:t>
            </w:r>
            <w:r w:rsid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надходжень до</w:t>
            </w:r>
            <w:r w:rsid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бюджету</w:t>
            </w:r>
            <w:r w:rsidR="003C3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громади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зменшиться</w:t>
            </w:r>
          </w:p>
        </w:tc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Дана альтернатива</w:t>
            </w:r>
          </w:p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суперечить вимогам Податкового кодексу України</w:t>
            </w:r>
          </w:p>
        </w:tc>
      </w:tr>
      <w:tr w:rsidR="0061715D" w:rsidRPr="006D46E7" w:rsidTr="0061715D"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2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Прийняття регуляторного акта відповідно до Податкового кодексу України</w:t>
            </w:r>
          </w:p>
        </w:tc>
        <w:tc>
          <w:tcPr>
            <w:tcW w:w="3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Врегулювання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правовідносин суб’єктів</w:t>
            </w:r>
            <w:r w:rsid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господарювання і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контролюючих органів у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процесі справляння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збору.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Виконання вимог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діючого законодавства.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Нарахування та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сплата податку,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подання</w:t>
            </w:r>
            <w:r w:rsid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звітності до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контролюючих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органів.</w:t>
            </w:r>
          </w:p>
        </w:tc>
        <w:tc>
          <w:tcPr>
            <w:tcW w:w="9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Цей регуляторний акт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відповідає потребам у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розв’язанні визначеної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проблеми та принципам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державної регуляторної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політики. Затвердження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такого регуляторного акта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забезпечить дотримання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вимог податкового</w:t>
            </w:r>
          </w:p>
          <w:p w:rsidR="0061715D" w:rsidRPr="006D46E7" w:rsidRDefault="0061715D" w:rsidP="006D4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законодавства.</w:t>
            </w:r>
          </w:p>
        </w:tc>
      </w:tr>
    </w:tbl>
    <w:p w:rsidR="0061715D" w:rsidRPr="0061715D" w:rsidRDefault="0061715D" w:rsidP="006171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61715D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lastRenderedPageBreak/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5"/>
        <w:gridCol w:w="3762"/>
        <w:gridCol w:w="2868"/>
      </w:tblGrid>
      <w:tr w:rsidR="0061715D" w:rsidRPr="0061715D" w:rsidTr="0061715D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Рейтинг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Аргументи щодо переваги обраної альтернативи / причини відмови від альтернативи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61715D" w:rsidRPr="0061715D" w:rsidTr="0061715D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1</w:t>
            </w:r>
          </w:p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прийняттярегуляторного</w:t>
            </w:r>
            <w:proofErr w:type="spellEnd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акта</w:t>
            </w:r>
          </w:p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3C3AC6" w:rsidP="006D46E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Обсяг надходжень до</w:t>
            </w:r>
            <w:r w:rsid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61715D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бюджету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громади </w:t>
            </w:r>
            <w:r w:rsidR="0061715D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зменшиться на 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</w:t>
            </w:r>
            <w:r w:rsidR="0061715D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тис. грн.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Х</w:t>
            </w:r>
          </w:p>
        </w:tc>
      </w:tr>
      <w:tr w:rsidR="0061715D" w:rsidRPr="0061715D" w:rsidTr="0061715D">
        <w:tc>
          <w:tcPr>
            <w:tcW w:w="4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Альтернатива 2</w:t>
            </w:r>
          </w:p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Прийняття регуляторного акта відповідно до Податкового кодексу України</w:t>
            </w:r>
          </w:p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220E4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Досягнення встановлених цілей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відбудеться лише за умови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безпосереднього державного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регулювання шляхом прийняття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запропонованого акта. Цей </w:t>
            </w:r>
            <w:proofErr w:type="spellStart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спосібдосягнення</w:t>
            </w:r>
            <w:proofErr w:type="spellEnd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цілей є найбільш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оптимальним та доцільним оскільки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відповідає вимогам чинного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регулювання, забезпечує належні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="003C3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надходження до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бюджету</w:t>
            </w:r>
            <w:r w:rsidR="003C3AC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громади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коштів у сумі 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тис.грн</w:t>
            </w:r>
            <w:proofErr w:type="spellEnd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.,які використовуватимуться </w:t>
            </w:r>
            <w:proofErr w:type="spellStart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навирішення</w:t>
            </w:r>
            <w:proofErr w:type="spellEnd"/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соціальних проблем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населення, збільшення фінансування</w:t>
            </w:r>
            <w:r w:rsidR="00220E40"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бюджетних програм.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Зміни у Податковому кодексі</w:t>
            </w:r>
          </w:p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України, зменшення кількості платників збору.</w:t>
            </w:r>
          </w:p>
          <w:p w:rsidR="0061715D" w:rsidRPr="006D46E7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D46E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</w:tr>
    </w:tbl>
    <w:p w:rsidR="0061715D" w:rsidRPr="0061715D" w:rsidRDefault="0061715D" w:rsidP="006171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61715D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t> </w:t>
      </w:r>
    </w:p>
    <w:p w:rsidR="0061715D" w:rsidRPr="00A81846" w:rsidRDefault="0061715D" w:rsidP="00220E4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Таким чином, для реалізації обрано Альтернативу 2 - встановлення ставок та пільг із сплати туристичного збору,</w:t>
      </w:r>
      <w:r w:rsidR="00220E40" w:rsidRPr="00A81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</w:t>
      </w:r>
      <w:r w:rsidRPr="00A81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відповідно до вимог Податкового кодексу України, що є посильним для платників податків та забезпечить </w:t>
      </w:r>
      <w:r w:rsidR="00220E40" w:rsidRPr="00A81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надходження до бюджету громади</w:t>
      </w:r>
      <w:r w:rsidRPr="00A81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. Перешкоди щодо можливого впровадження цього</w:t>
      </w:r>
      <w:r w:rsidR="00220E40" w:rsidRPr="00A81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 xml:space="preserve"> </w:t>
      </w:r>
      <w:r w:rsidRPr="00A8184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регуляторного акту та виконання його вимог відсутні.</w:t>
      </w:r>
    </w:p>
    <w:p w:rsidR="0061715D" w:rsidRPr="00A81846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V. Механізми та заходи, які забезпечать розв'язання визначеної проблеми</w:t>
      </w:r>
    </w:p>
    <w:p w:rsidR="0061715D" w:rsidRPr="00A81846" w:rsidRDefault="0061715D" w:rsidP="00220E4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Запропоновані механізми регуляторного акту за допомогою яких можна розв’язати проблему. 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 результаті визначення цілі,проведення аналізу поточної ситуації в адміністративно-територіальних межах </w:t>
      </w:r>
      <w:r w:rsidR="00220E40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Луцької міської територіальної громади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основним механізмом яке забезпечить розв’язання визначеної проблеми є встановлення запропонованих ставок туристичного збору на 2021 рік.</w:t>
      </w:r>
    </w:p>
    <w:p w:rsidR="0061715D" w:rsidRPr="00A81846" w:rsidRDefault="0061715D" w:rsidP="00220E4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метою реалізації поставленого завдання пропонується встановити ставки туристичного збору згідно </w:t>
      </w:r>
      <w:proofErr w:type="spellStart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</w:t>
      </w:r>
      <w:r w:rsidR="00220E40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є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кту</w:t>
      </w:r>
      <w:proofErr w:type="spellEnd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рішення міської ради «Про встановлення </w:t>
      </w:r>
      <w:r w:rsidR="00220E40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ставок туристичного збору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».</w:t>
      </w:r>
    </w:p>
    <w:p w:rsidR="0061715D" w:rsidRPr="00A81846" w:rsidRDefault="0061715D" w:rsidP="00220E40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Заходи, які мають здійснити органи влади для впровадження цього регуляторного акту. </w:t>
      </w:r>
      <w:r w:rsidR="003C3A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Розробка </w:t>
      </w:r>
      <w:proofErr w:type="spellStart"/>
      <w:r w:rsidR="003C3A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кту</w:t>
      </w:r>
      <w:proofErr w:type="spellEnd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рішення міської ради «Про встановлення 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ставок 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туристичного збору» та</w:t>
      </w:r>
      <w:r w:rsidR="003C3A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АРВ до нього. Оприлюднення </w:t>
      </w:r>
      <w:proofErr w:type="spellStart"/>
      <w:r w:rsidR="003C3A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кту</w:t>
      </w:r>
      <w:proofErr w:type="spellEnd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разом з </w:t>
      </w:r>
      <w:proofErr w:type="spellStart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АРВ</w:t>
      </w:r>
      <w:proofErr w:type="spellEnd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отримання пропозицій та зауважень. Підготовка експертного висновку постійної відповідальної комісії щодо відповідності</w:t>
      </w:r>
      <w:r w:rsidR="003C3A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proofErr w:type="spellStart"/>
      <w:r w:rsidR="003C3A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кту</w:t>
      </w:r>
      <w:proofErr w:type="spellEnd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рішення вимогами статей 4,8 Закону України «Про засади 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державної регуляторної політики у сфері господарської діяльності». Отримання пропозицій по удосконаленню від Державної регуляторної служби України. Прийняття рішення на пленарному засіданні сесії міської ради. Оприлюднення рішення у встановленому законодавством порядку. Проведення заходів з відстеження результативності прийнятого рішення.</w:t>
      </w:r>
    </w:p>
    <w:p w:rsidR="0061715D" w:rsidRPr="00A81846" w:rsidRDefault="0061715D" w:rsidP="001C4E5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Запропонований вихід із ситуації, що склалася відповідає принципам державної регуляторної політики, а саме: доцільності, ефективності, збалансованості, передбачуваності, принципу прозорості та врахування громадської думки.</w:t>
      </w:r>
    </w:p>
    <w:p w:rsidR="0061715D" w:rsidRPr="0061715D" w:rsidRDefault="0061715D" w:rsidP="00220E40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61715D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t> </w:t>
      </w:r>
    </w:p>
    <w:p w:rsidR="0061715D" w:rsidRPr="00A81846" w:rsidRDefault="0061715D" w:rsidP="00220E4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61715D" w:rsidRPr="00A81846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61715D" w:rsidRPr="00A81846" w:rsidRDefault="0061715D" w:rsidP="001C4E5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Бюджетні витрати на адміністрування регулювання суб`єктів господарської діяльності не підлягають розрахунку, оскільки встановлені нормами Податкового кодексу України. Органи місцевого самоврядування наділені повноваженнями лише встановлювати ставки місцевих податків і зборів, не змінюючи порядок її обчислення, сплати та інші адміністративні процедури.</w:t>
      </w:r>
    </w:p>
    <w:p w:rsidR="0061715D" w:rsidRPr="00A81846" w:rsidRDefault="0061715D" w:rsidP="001C4E57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Зазначене регулювання стосується усіх суб’єктів господарювання,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що зареєстровані на території Луцької </w:t>
      </w:r>
      <w:r w:rsidR="003C3A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міської територіальної громади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у тому числі суб'єктів малого підприємництва, тому проведено розрахунок витрат на запровадження державного регулювання для суб’єктів малого підприємництва - Тест малого підприємництва (додаток 1 до АРВ).</w:t>
      </w:r>
    </w:p>
    <w:p w:rsidR="0061715D" w:rsidRPr="00A81846" w:rsidRDefault="0061715D" w:rsidP="000234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VII. Обґрунтування запропонованого строку дії регуляторного акта</w:t>
      </w:r>
    </w:p>
    <w:p w:rsidR="0061715D" w:rsidRPr="00A81846" w:rsidRDefault="003C3AC6" w:rsidP="003C3AC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Зазначений </w:t>
      </w:r>
      <w:proofErr w:type="spellStart"/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є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</w:t>
      </w:r>
      <w:proofErr w:type="spellEnd"/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нормативно-правового акта є загальнообов`язковим до застосування на території 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громади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та відповідно до вимог Податкового кодексу України встановлюється 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1січня 2021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оку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. У разі внесення змін до Податкового кодексу в частині справляння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туристичного збору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відповідні зміни будуть внесені до цього регуляторного акта.</w:t>
      </w:r>
    </w:p>
    <w:p w:rsidR="0061715D" w:rsidRPr="00A81846" w:rsidRDefault="003C3AC6" w:rsidP="00A81846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разі, якщо міська рада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не прийняла рішення про встановлення відповідних місцевих податків і зборів, що є обов’язковими згідно з нормами ПКУ, туристичний збір, до прийняття рішення, справляється виходячи з норм ПКУ із застосуванням їх мінімальних ставок.</w:t>
      </w:r>
    </w:p>
    <w:p w:rsidR="0061715D" w:rsidRPr="00A81846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VIII. Визначення показників результативності дії регуляторного акта</w:t>
      </w:r>
    </w:p>
    <w:p w:rsidR="0061715D" w:rsidRPr="00A81846" w:rsidRDefault="0061715D" w:rsidP="0061715D">
      <w:pPr>
        <w:shd w:val="clear" w:color="auto" w:fill="FFFFFF"/>
        <w:spacing w:after="135" w:line="240" w:lineRule="auto"/>
        <w:ind w:left="4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Основними показниками результативності акта є:</w:t>
      </w:r>
    </w:p>
    <w:p w:rsidR="0061715D" w:rsidRPr="00A81846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забезпечення ві</w:t>
      </w:r>
      <w:r w:rsidR="003C3A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дповідних надходжень до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бюджету</w:t>
      </w:r>
      <w:r w:rsidR="003C3AC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громади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від сплати туристичного збору;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95"/>
        <w:gridCol w:w="2571"/>
        <w:gridCol w:w="2571"/>
        <w:gridCol w:w="1818"/>
      </w:tblGrid>
      <w:tr w:rsidR="0061715D" w:rsidRPr="00A81846" w:rsidTr="00A81846"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3C3AC6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Надходження до </w:t>
            </w:r>
            <w:r w:rsidR="0061715D"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бюджету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громади</w:t>
            </w:r>
          </w:p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 сплати місцевих податків і зборів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Обсяг надходжень</w:t>
            </w:r>
          </w:p>
          <w:p w:rsidR="0061715D" w:rsidRPr="00A81846" w:rsidRDefault="0061715D" w:rsidP="00A8184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за 2018 рік, </w:t>
            </w:r>
            <w:proofErr w:type="spellStart"/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Обсяг</w:t>
            </w:r>
          </w:p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надходжень</w:t>
            </w:r>
          </w:p>
          <w:p w:rsidR="0061715D" w:rsidRPr="00A81846" w:rsidRDefault="0061715D" w:rsidP="00A8184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за 2019 рік, </w:t>
            </w:r>
            <w:proofErr w:type="spellStart"/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Відхилення,</w:t>
            </w:r>
          </w:p>
          <w:p w:rsidR="0061715D" w:rsidRPr="00A81846" w:rsidRDefault="0061715D" w:rsidP="00A8184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proofErr w:type="spellStart"/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</w:tr>
      <w:tr w:rsidR="0061715D" w:rsidRPr="00A81846" w:rsidTr="00A81846"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Туристичний збір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1C4E57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253,8</w:t>
            </w:r>
          </w:p>
        </w:tc>
        <w:tc>
          <w:tcPr>
            <w:tcW w:w="2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1C4E57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587,6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1C4E57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+</w:t>
            </w:r>
            <w:r w:rsidR="001C4E57"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333,8</w:t>
            </w:r>
          </w:p>
        </w:tc>
      </w:tr>
    </w:tbl>
    <w:p w:rsidR="0061715D" w:rsidRPr="00A81846" w:rsidRDefault="0061715D" w:rsidP="001C4E5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</w:t>
      </w:r>
    </w:p>
    <w:p w:rsidR="0061715D" w:rsidRPr="00A81846" w:rsidRDefault="0061715D" w:rsidP="00A81846">
      <w:pPr>
        <w:shd w:val="clear" w:color="auto" w:fill="FFFFFF"/>
        <w:spacing w:after="135" w:line="240" w:lineRule="auto"/>
        <w:ind w:left="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створення фінансових можливостей міської влади для задоволення соціальних та інших потреб територіальної громади (% перевиконання планових показників доходів бюджету);</w:t>
      </w:r>
    </w:p>
    <w:p w:rsidR="0061715D" w:rsidRPr="00A81846" w:rsidRDefault="0061715D" w:rsidP="00A818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- кількість суб’єктів господарської діяльності, на яких поширюється дія регуляторного акта;</w:t>
      </w:r>
    </w:p>
    <w:p w:rsidR="0061715D" w:rsidRPr="00A81846" w:rsidRDefault="0061715D" w:rsidP="00A818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 xml:space="preserve"> - рівень поінформованості суб’єктів господарювання – платників туристичного збору (оприлюднення рішення про встановлення туристичного збору у електронних </w:t>
      </w:r>
      <w:r w:rsidR="00E51FF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ЗМІ територіальної громади 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).</w:t>
      </w:r>
    </w:p>
    <w:p w:rsidR="0061715D" w:rsidRPr="0061715D" w:rsidRDefault="0061715D" w:rsidP="006171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61715D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t> </w:t>
      </w:r>
    </w:p>
    <w:p w:rsidR="0061715D" w:rsidRPr="00A81846" w:rsidRDefault="0061715D" w:rsidP="00A8184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61715D" w:rsidRPr="00A81846" w:rsidRDefault="0061715D" w:rsidP="00A8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Базове відстеження результативності регуляторного акта буде здійснюватись після набрання чинності цим регуляторним актом шляхом статистичного аналізу показників туристичного збору, що надходить до бюджету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громади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.</w:t>
      </w:r>
    </w:p>
    <w:p w:rsidR="0061715D" w:rsidRPr="00A81846" w:rsidRDefault="0061715D" w:rsidP="00A81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Повторне відстеження буде здійснюватись через рік після набуття чинності регуляторного акту, в результаті якого відбудеться порівняння показників базового та повторного відстеження.</w:t>
      </w:r>
    </w:p>
    <w:p w:rsidR="001C4E57" w:rsidRPr="00A81846" w:rsidRDefault="0061715D" w:rsidP="00A81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Відстеження результативності даного рішення буде здійснюватися 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департаментом фінансів та бюджету Луцької 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міської ради статистичним методом з використанням офіційної інформації Головного управління Д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С </w:t>
      </w:r>
      <w:r w:rsidR="001C4E57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 Волинській.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:rsidR="0061715D" w:rsidRPr="00A81846" w:rsidRDefault="0061715D" w:rsidP="00A818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У </w:t>
      </w:r>
      <w:proofErr w:type="spellStart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</w:t>
      </w:r>
      <w:r w:rsid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є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кті</w:t>
      </w:r>
      <w:proofErr w:type="spellEnd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рішення  відсутні положення, які містять ознаки дискримінації, правила та процедури, які можуть містити ризики вчинення корупційних правопорушень.</w:t>
      </w:r>
    </w:p>
    <w:p w:rsidR="0061715D" w:rsidRPr="00A81846" w:rsidRDefault="0061715D" w:rsidP="00A818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proofErr w:type="spellStart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</w:t>
      </w:r>
      <w:r w:rsid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є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</w:t>
      </w:r>
      <w:proofErr w:type="spellEnd"/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не стосується питань впливу реалізації акта на ринок праці.</w:t>
      </w:r>
    </w:p>
    <w:p w:rsidR="0061715D" w:rsidRPr="0061715D" w:rsidRDefault="0061715D" w:rsidP="0061715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  <w:r w:rsidRPr="0061715D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t> </w:t>
      </w:r>
    </w:p>
    <w:p w:rsidR="0061715D" w:rsidRPr="00A81846" w:rsidRDefault="00A81846" w:rsidP="00A81846">
      <w:pPr>
        <w:shd w:val="clear" w:color="auto" w:fill="FFFFFF"/>
        <w:spacing w:after="0" w:line="240" w:lineRule="auto"/>
        <w:ind w:left="397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Додаток 1</w:t>
      </w:r>
    </w:p>
    <w:p w:rsidR="0061715D" w:rsidRPr="00A81846" w:rsidRDefault="00A81846" w:rsidP="00A81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                                                  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 аналізу регуляторного впливу</w:t>
      </w:r>
    </w:p>
    <w:p w:rsidR="00A81846" w:rsidRDefault="00A81846" w:rsidP="00A81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проє</w:t>
      </w:r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кту</w:t>
      </w:r>
      <w:proofErr w:type="spellEnd"/>
      <w:r w:rsidR="0061715D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рішення «Про встановлення</w:t>
      </w:r>
    </w:p>
    <w:p w:rsidR="0061715D" w:rsidRPr="00A81846" w:rsidRDefault="0061715D" w:rsidP="00A81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  <w:r w:rsid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                                                                    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став</w:t>
      </w:r>
      <w:r w:rsid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ок 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туристичного збору»</w:t>
      </w:r>
    </w:p>
    <w:p w:rsidR="0061715D" w:rsidRPr="00A81846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61715D" w:rsidRPr="00A81846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ТЕСТ</w:t>
      </w:r>
    </w:p>
    <w:p w:rsidR="0061715D" w:rsidRPr="00A81846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малого підприємництва (М-Тест)</w:t>
      </w:r>
    </w:p>
    <w:p w:rsidR="0061715D" w:rsidRPr="00A81846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61715D" w:rsidRPr="00A81846" w:rsidRDefault="0061715D" w:rsidP="006171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1. Консультації з представниками мікро- та малого підприємництва щодо оцінки впливу регулювання</w:t>
      </w:r>
    </w:p>
    <w:p w:rsidR="0061715D" w:rsidRPr="00A81846" w:rsidRDefault="0061715D" w:rsidP="00E51FF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  <w:r w:rsid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ab/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лютого 2020 р. по березень 2020 р.</w:t>
      </w:r>
    </w:p>
    <w:p w:rsidR="00413489" w:rsidRPr="00A81846" w:rsidRDefault="00413489" w:rsidP="00413489">
      <w:pPr>
        <w:shd w:val="clear" w:color="auto" w:fill="FFFFFF"/>
        <w:spacing w:after="135"/>
        <w:rPr>
          <w:rFonts w:ascii="Times New Roman" w:hAnsi="Times New Roman" w:cs="Times New Roman"/>
          <w:i/>
          <w:iCs/>
          <w:color w:val="333333"/>
          <w:sz w:val="24"/>
          <w:szCs w:val="24"/>
          <w:lang w:eastAsia="uk-UA"/>
        </w:rPr>
      </w:pPr>
      <w:r w:rsidRPr="00A81846">
        <w:rPr>
          <w:rFonts w:ascii="Times New Roman" w:hAnsi="Times New Roman" w:cs="Times New Roman"/>
          <w:i/>
          <w:iCs/>
          <w:color w:val="333333"/>
          <w:sz w:val="24"/>
          <w:szCs w:val="24"/>
          <w:lang w:eastAsia="uk-UA"/>
        </w:rPr>
        <w:t>Таблиця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467"/>
        <w:gridCol w:w="3784"/>
        <w:gridCol w:w="1559"/>
        <w:gridCol w:w="2839"/>
      </w:tblGrid>
      <w:tr w:rsidR="00413489" w:rsidRPr="00A81846" w:rsidTr="003C3AC6">
        <w:trPr>
          <w:trHeight w:val="1833"/>
          <w:jc w:val="center"/>
        </w:trPr>
        <w:tc>
          <w:tcPr>
            <w:tcW w:w="760" w:type="pct"/>
          </w:tcPr>
          <w:p w:rsidR="00413489" w:rsidRPr="00A81846" w:rsidRDefault="00413489" w:rsidP="003C3AC6">
            <w:pPr>
              <w:pStyle w:val="rvps12"/>
              <w:spacing w:before="0" w:beforeAutospacing="0" w:after="0" w:afterAutospacing="0"/>
              <w:contextualSpacing/>
              <w:jc w:val="center"/>
              <w:textAlignment w:val="baseline"/>
              <w:rPr>
                <w:i/>
                <w:lang w:val="uk-UA"/>
              </w:rPr>
            </w:pPr>
            <w:r w:rsidRPr="00A81846">
              <w:rPr>
                <w:i/>
                <w:lang w:val="uk-UA"/>
              </w:rPr>
              <w:t>Порядковий номер</w:t>
            </w:r>
          </w:p>
        </w:tc>
        <w:tc>
          <w:tcPr>
            <w:tcW w:w="1961" w:type="pct"/>
          </w:tcPr>
          <w:p w:rsidR="00413489" w:rsidRPr="00A81846" w:rsidRDefault="00413489" w:rsidP="003C3AC6">
            <w:pPr>
              <w:pStyle w:val="rvps12"/>
              <w:spacing w:before="0" w:beforeAutospacing="0" w:after="0" w:afterAutospacing="0"/>
              <w:contextualSpacing/>
              <w:jc w:val="center"/>
              <w:textAlignment w:val="baseline"/>
              <w:rPr>
                <w:i/>
                <w:lang w:val="uk-UA"/>
              </w:rPr>
            </w:pPr>
            <w:r w:rsidRPr="00A81846">
              <w:rPr>
                <w:i/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808" w:type="pct"/>
          </w:tcPr>
          <w:p w:rsidR="00413489" w:rsidRPr="00A81846" w:rsidRDefault="00413489" w:rsidP="003C3AC6">
            <w:pPr>
              <w:pStyle w:val="rvps12"/>
              <w:spacing w:before="0" w:beforeAutospacing="0" w:after="0" w:afterAutospacing="0"/>
              <w:contextualSpacing/>
              <w:jc w:val="center"/>
              <w:textAlignment w:val="baseline"/>
              <w:rPr>
                <w:i/>
                <w:lang w:val="uk-UA"/>
              </w:rPr>
            </w:pPr>
            <w:r w:rsidRPr="00A81846">
              <w:rPr>
                <w:i/>
                <w:lang w:val="uk-UA"/>
              </w:rPr>
              <w:t>Кількість учасників консультацій, осіб</w:t>
            </w:r>
          </w:p>
        </w:tc>
        <w:tc>
          <w:tcPr>
            <w:tcW w:w="1471" w:type="pct"/>
          </w:tcPr>
          <w:p w:rsidR="00413489" w:rsidRPr="00A81846" w:rsidRDefault="00413489" w:rsidP="003C3AC6">
            <w:pPr>
              <w:pStyle w:val="rvps12"/>
              <w:spacing w:before="0" w:beforeAutospacing="0" w:after="0" w:afterAutospacing="0"/>
              <w:contextualSpacing/>
              <w:jc w:val="center"/>
              <w:textAlignment w:val="baseline"/>
              <w:rPr>
                <w:i/>
                <w:lang w:val="uk-UA"/>
              </w:rPr>
            </w:pPr>
            <w:r w:rsidRPr="00A81846">
              <w:rPr>
                <w:i/>
                <w:lang w:val="uk-UA"/>
              </w:rPr>
              <w:t>Основні результати консультацій (опис)</w:t>
            </w:r>
          </w:p>
        </w:tc>
      </w:tr>
      <w:tr w:rsidR="00413489" w:rsidRPr="00FA4605" w:rsidTr="003C3AC6">
        <w:trPr>
          <w:cantSplit/>
          <w:trHeight w:val="709"/>
          <w:jc w:val="center"/>
        </w:trPr>
        <w:tc>
          <w:tcPr>
            <w:tcW w:w="760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jc w:val="center"/>
              <w:textAlignment w:val="baseline"/>
              <w:rPr>
                <w:lang w:val="uk-UA"/>
              </w:rPr>
            </w:pPr>
            <w:r w:rsidRPr="00FA4605">
              <w:rPr>
                <w:lang w:val="uk-UA"/>
              </w:rPr>
              <w:t>1.</w:t>
            </w:r>
          </w:p>
        </w:tc>
        <w:tc>
          <w:tcPr>
            <w:tcW w:w="1961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textAlignment w:val="baseline"/>
              <w:rPr>
                <w:lang w:val="uk-UA"/>
              </w:rPr>
            </w:pPr>
            <w:r w:rsidRPr="00FA4605">
              <w:rPr>
                <w:lang w:val="uk-UA"/>
              </w:rPr>
              <w:t xml:space="preserve">Розробником проведено консультації з представниками малого підприємництва </w:t>
            </w:r>
          </w:p>
        </w:tc>
        <w:tc>
          <w:tcPr>
            <w:tcW w:w="808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71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textAlignment w:val="baseline"/>
              <w:rPr>
                <w:lang w:val="uk-UA"/>
              </w:rPr>
            </w:pPr>
            <w:r w:rsidRPr="00FA4605">
              <w:rPr>
                <w:lang w:val="uk-UA"/>
              </w:rPr>
              <w:t>Отримання інформації та пропозицій</w:t>
            </w:r>
          </w:p>
        </w:tc>
      </w:tr>
      <w:tr w:rsidR="00413489" w:rsidRPr="00FA4605" w:rsidTr="003C3AC6">
        <w:trPr>
          <w:trHeight w:val="493"/>
          <w:jc w:val="center"/>
        </w:trPr>
        <w:tc>
          <w:tcPr>
            <w:tcW w:w="760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jc w:val="center"/>
              <w:textAlignment w:val="baseline"/>
              <w:rPr>
                <w:lang w:val="uk-UA"/>
              </w:rPr>
            </w:pPr>
            <w:r w:rsidRPr="00FA4605">
              <w:rPr>
                <w:lang w:val="uk-UA"/>
              </w:rPr>
              <w:t>2.</w:t>
            </w:r>
          </w:p>
        </w:tc>
        <w:tc>
          <w:tcPr>
            <w:tcW w:w="1961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textAlignment w:val="baseline"/>
              <w:rPr>
                <w:lang w:val="uk-UA"/>
              </w:rPr>
            </w:pPr>
            <w:r w:rsidRPr="00FA4605">
              <w:rPr>
                <w:lang w:val="uk-UA"/>
              </w:rPr>
              <w:t>Телефонні розмови</w:t>
            </w:r>
          </w:p>
        </w:tc>
        <w:tc>
          <w:tcPr>
            <w:tcW w:w="808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jc w:val="center"/>
              <w:textAlignment w:val="baseline"/>
              <w:rPr>
                <w:lang w:val="uk-UA"/>
              </w:rPr>
            </w:pPr>
            <w:r w:rsidRPr="00FA4605">
              <w:rPr>
                <w:lang w:val="uk-UA"/>
              </w:rPr>
              <w:t>7</w:t>
            </w:r>
          </w:p>
        </w:tc>
        <w:tc>
          <w:tcPr>
            <w:tcW w:w="1471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textAlignment w:val="baseline"/>
              <w:rPr>
                <w:lang w:val="uk-UA"/>
              </w:rPr>
            </w:pPr>
            <w:r w:rsidRPr="00FA4605">
              <w:rPr>
                <w:lang w:val="uk-UA"/>
              </w:rPr>
              <w:t>Отримання інформації та пропозицій</w:t>
            </w:r>
          </w:p>
        </w:tc>
      </w:tr>
      <w:tr w:rsidR="00413489" w:rsidRPr="00FA4605" w:rsidTr="003C3AC6">
        <w:trPr>
          <w:trHeight w:val="493"/>
          <w:jc w:val="center"/>
        </w:trPr>
        <w:tc>
          <w:tcPr>
            <w:tcW w:w="760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jc w:val="center"/>
              <w:textAlignment w:val="baseline"/>
              <w:rPr>
                <w:lang w:val="uk-UA"/>
              </w:rPr>
            </w:pPr>
            <w:r w:rsidRPr="00FA4605">
              <w:rPr>
                <w:lang w:val="uk-UA"/>
              </w:rPr>
              <w:t>3.</w:t>
            </w:r>
          </w:p>
        </w:tc>
        <w:tc>
          <w:tcPr>
            <w:tcW w:w="1961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textAlignment w:val="baseline"/>
              <w:rPr>
                <w:lang w:val="uk-UA"/>
              </w:rPr>
            </w:pPr>
            <w:r w:rsidRPr="00FA4605">
              <w:rPr>
                <w:lang w:val="uk-UA"/>
              </w:rPr>
              <w:t>Особиста співбесіда</w:t>
            </w:r>
          </w:p>
        </w:tc>
        <w:tc>
          <w:tcPr>
            <w:tcW w:w="808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71" w:type="pct"/>
          </w:tcPr>
          <w:p w:rsidR="00413489" w:rsidRPr="00FA4605" w:rsidRDefault="00413489" w:rsidP="003C3AC6">
            <w:pPr>
              <w:pStyle w:val="rvps12"/>
              <w:spacing w:before="0" w:beforeAutospacing="0" w:after="0" w:afterAutospacing="0"/>
              <w:contextualSpacing/>
              <w:textAlignment w:val="baseline"/>
              <w:rPr>
                <w:lang w:val="uk-UA"/>
              </w:rPr>
            </w:pPr>
            <w:r w:rsidRPr="00FA4605">
              <w:rPr>
                <w:lang w:val="uk-UA"/>
              </w:rPr>
              <w:t>Отримання інформації та пропозицій</w:t>
            </w:r>
          </w:p>
        </w:tc>
      </w:tr>
    </w:tbl>
    <w:p w:rsidR="0061715D" w:rsidRPr="0061715D" w:rsidRDefault="0061715D" w:rsidP="006171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</w:pPr>
    </w:p>
    <w:p w:rsidR="0061715D" w:rsidRPr="00A81846" w:rsidRDefault="0061715D" w:rsidP="00A818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2. Вимірювання впливу регулювання на суб'єктів малого підприємництва (мікро- та малі):</w:t>
      </w:r>
    </w:p>
    <w:p w:rsidR="0061715D" w:rsidRPr="00A81846" w:rsidRDefault="0061715D" w:rsidP="00A818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- кількість суб'єктів підприємництва, на яких поширюється регулювання: </w:t>
      </w:r>
      <w:r w:rsidR="00413489"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28</w:t>
      </w: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;</w:t>
      </w:r>
    </w:p>
    <w:p w:rsidR="0061715D" w:rsidRPr="00A81846" w:rsidRDefault="0061715D" w:rsidP="00A8184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A8184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- питома вага суб'єктів підприємництва у загальній кількості суб'єктів господарювання, на яких проблема справляє вплив 100 (відсотків)</w:t>
      </w:r>
    </w:p>
    <w:p w:rsidR="0061715D" w:rsidRPr="00A81846" w:rsidRDefault="0061715D" w:rsidP="006171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61715D">
        <w:rPr>
          <w:rFonts w:ascii="Helvetica" w:eastAsia="Times New Roman" w:hAnsi="Helvetica" w:cs="Helvetica"/>
          <w:color w:val="333333"/>
          <w:sz w:val="20"/>
          <w:szCs w:val="20"/>
          <w:lang w:eastAsia="uk-UA"/>
        </w:rPr>
        <w:t> </w:t>
      </w:r>
      <w:bookmarkStart w:id="0" w:name="_GoBack"/>
      <w:bookmarkEnd w:id="0"/>
      <w:r w:rsidRPr="00A818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3. Розрахунок витрат суб'єктів малого підприємництва на виконання вимог регулювання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31"/>
        <w:gridCol w:w="2294"/>
        <w:gridCol w:w="2062"/>
        <w:gridCol w:w="2676"/>
        <w:gridCol w:w="1192"/>
      </w:tblGrid>
      <w:tr w:rsidR="0061715D" w:rsidRPr="00A81846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Найменування оцінки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У перший рік (стартовий рік впровадження регулювання)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Періодичні(за</w:t>
            </w:r>
            <w:r w:rsidR="00E51FF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 </w:t>
            </w: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наступний рік)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Витрати за п'ять років</w:t>
            </w:r>
          </w:p>
        </w:tc>
      </w:tr>
      <w:tr w:rsidR="0061715D" w:rsidRPr="00A81846" w:rsidTr="00413489">
        <w:tc>
          <w:tcPr>
            <w:tcW w:w="9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Оцінка "прямих" витрат суб'єктів малого підприємництва на виконання регулювання</w:t>
            </w:r>
          </w:p>
        </w:tc>
      </w:tr>
      <w:tr w:rsidR="0061715D" w:rsidRPr="00A81846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</w:tr>
      <w:tr w:rsidR="0061715D" w:rsidRPr="00A81846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</w:tr>
      <w:tr w:rsidR="0061715D" w:rsidRPr="00A81846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</w:tr>
      <w:tr w:rsidR="0061715D" w:rsidRPr="00A81846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</w:tr>
      <w:tr w:rsidR="0061715D" w:rsidRPr="00A81846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Інші процедури (уточнити) (сплата податку)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</w:p>
        </w:tc>
      </w:tr>
      <w:tr w:rsidR="00413489" w:rsidRPr="00A81846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Разом, гривень</w:t>
            </w: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A818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Формула:</w:t>
            </w: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A8184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(сума рядків 1 + 2 + 3 + 4 + 5)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489" w:rsidRPr="00A81846" w:rsidRDefault="00413489" w:rsidP="003C3AC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489" w:rsidRPr="00A81846" w:rsidRDefault="00413489" w:rsidP="003C3AC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13489" w:rsidRPr="00A81846" w:rsidRDefault="00413489" w:rsidP="003C3AC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</w:p>
        </w:tc>
      </w:tr>
      <w:tr w:rsidR="00413489" w:rsidRPr="00A81846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Кількість суб'єктів господарювання, що повинні виконати вимоги регулювання, одиниць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41348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28</w:t>
            </w:r>
          </w:p>
        </w:tc>
      </w:tr>
      <w:tr w:rsidR="00413489" w:rsidRPr="00A81846" w:rsidTr="000234BA">
        <w:trPr>
          <w:trHeight w:val="495"/>
        </w:trPr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Сумарно, гривень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3C3AC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3C3AC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3C3AC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600,0</w:t>
            </w:r>
          </w:p>
        </w:tc>
      </w:tr>
      <w:tr w:rsidR="00413489" w:rsidRPr="00A81846" w:rsidTr="00413489">
        <w:trPr>
          <w:trHeight w:val="1380"/>
        </w:trPr>
        <w:tc>
          <w:tcPr>
            <w:tcW w:w="965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  <w:p w:rsidR="00413489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(для розрахунку застосовується розмір мінімальної заробітної плати станом на 01.01.2020:</w:t>
            </w:r>
          </w:p>
          <w:p w:rsidR="00413489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 місячному розмірі – 4723,00 гривні; у погодинному розмірі - 28,31 гривні</w:t>
            </w:r>
          </w:p>
          <w:p w:rsidR="00413489" w:rsidRPr="00A81846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A8184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(ст. 8 Закон України «Про Державний бюджет України на 2020 рік»).</w:t>
            </w:r>
          </w:p>
        </w:tc>
      </w:tr>
      <w:tr w:rsidR="00413489" w:rsidRPr="00F506AA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Процедури </w:t>
            </w:r>
            <w:proofErr w:type="spellStart"/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отриманняпервинної</w:t>
            </w:r>
            <w:proofErr w:type="spellEnd"/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інформації про вимоги регулювання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Формула: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витрати часу на отримання інформації про регулювання, отримання необхідних форм та заявок Х вартість часу суб'єкта малого підприємництва (заробітна плата) Х оціночна кількість форм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1г*28,31=28,31грн 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28,31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141,55</w:t>
            </w:r>
          </w:p>
        </w:tc>
      </w:tr>
      <w:tr w:rsidR="00413489" w:rsidRPr="00F506AA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Процедури організації виконання вимог регулювання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Формула: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витрати часу на розроблення та впровадження внутрішніх для суб'єкта малого підприємництва процедур на впровадження вимог регулювання Х вартість часу суб'єкта малого підприємництва (заробітна плата) Х оціночна кількість внутрішніх процедур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2г*28,31=56,62 грн 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56,62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283,10</w:t>
            </w:r>
          </w:p>
        </w:tc>
      </w:tr>
      <w:tr w:rsidR="00413489" w:rsidRPr="00F506AA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Процедури офіційного звітування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Формула: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 xml:space="preserve">витрати часу на отримання інформації про порядок звітування </w:t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lastRenderedPageBreak/>
              <w:t>щодо регулювання, отримання необхідних форм та визначення органу, що приймає звіти та місця звітності + витрати часу на заповнення звітних форм + витрати часу на передачу звітних форм (окремо за засобами передачі інформації з оцінкою кількості суб'єктів, що користуються формами засобів - окремо електронна звітність, звітність до органу, поштовим зв'язком тощо) + оцінка витрат часу на корегування (оцінка природного рівня помилок)) Х вартість часу суб'єкта малого підприємництва (заробітна плата) Х оціночна кількість оригінальних звітів Х кількість періодів звітності за рік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lastRenderedPageBreak/>
              <w:t>0</w:t>
            </w:r>
          </w:p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</w:tr>
      <w:tr w:rsidR="00413489" w:rsidRPr="00F506AA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Процедури щодо забезпечення процесу перевірок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Формула: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витрати часу на забезпечення процесу перевірок з боку контролюючих органів Х вартість часу суб'єкта малого підприємництва (заробітна плата) Х оціночна кількість перевірок за рік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</w:tr>
      <w:tr w:rsidR="00413489" w:rsidRPr="00F506AA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Інші процедури (уточнити)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0 </w:t>
            </w:r>
          </w:p>
        </w:tc>
      </w:tr>
      <w:tr w:rsidR="00413489" w:rsidRPr="00F506AA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Разом, гривень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Формула: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(сума рядків 9 + 10 + 11 + 12 + 13)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84,93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84,93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424,65</w:t>
            </w:r>
          </w:p>
        </w:tc>
      </w:tr>
      <w:tr w:rsidR="00413489" w:rsidRPr="00F506AA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</w:tr>
      <w:tr w:rsidR="00413489" w:rsidRPr="00F506AA" w:rsidTr="000234BA"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Сумарно, гривень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Формула: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br/>
            </w:r>
            <w:r w:rsidRPr="00F506AA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uk-UA"/>
              </w:rPr>
              <w:t>відповідний стовпчик "разом" Х кількість суб'єктів малого підприємництва, що повинні виконати вимоги регулювання (рядок 14 Х рядок 15</w:t>
            </w: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424,65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424,65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489" w:rsidRPr="00F506AA" w:rsidRDefault="00413489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424,65</w:t>
            </w:r>
          </w:p>
        </w:tc>
      </w:tr>
    </w:tbl>
    <w:p w:rsidR="0061715D" w:rsidRPr="00F506AA" w:rsidRDefault="0061715D" w:rsidP="0061715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506A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p w:rsidR="0061715D" w:rsidRPr="00F506AA" w:rsidRDefault="0061715D" w:rsidP="006171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506A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  </w:t>
      </w:r>
      <w:r w:rsidRPr="00F506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4. Розрахунок сумарних витрат суб'єктів малого підприємництва, що виникають на виконання вимог регулювання</w:t>
      </w:r>
    </w:p>
    <w:p w:rsidR="0061715D" w:rsidRPr="00F506AA" w:rsidRDefault="0061715D" w:rsidP="0061715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F506A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76"/>
        <w:gridCol w:w="3525"/>
        <w:gridCol w:w="2365"/>
        <w:gridCol w:w="1889"/>
      </w:tblGrid>
      <w:tr w:rsidR="0061715D" w:rsidRPr="00F506AA" w:rsidTr="0061715D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Порядковий номер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Перший рік регулювання (стартовий)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За п'ять років</w:t>
            </w:r>
          </w:p>
        </w:tc>
      </w:tr>
      <w:tr w:rsidR="0061715D" w:rsidRPr="00F506AA" w:rsidTr="0061715D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E51FFF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uk-UA"/>
              </w:rPr>
            </w:pPr>
            <w:r w:rsidRPr="00E51FFF">
              <w:rPr>
                <w:rFonts w:ascii="Times New Roman" w:eastAsia="Times New Roman" w:hAnsi="Times New Roman" w:cs="Times New Roman"/>
                <w:bCs/>
                <w:i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Оцінка "прямих" витрат суб'єктів малого підприємництва на виконання регулювання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15,23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76,15</w:t>
            </w:r>
          </w:p>
        </w:tc>
      </w:tr>
      <w:tr w:rsidR="0061715D" w:rsidRPr="00F506AA" w:rsidTr="0061715D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E51FFF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E51FF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424,65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2123,25</w:t>
            </w:r>
          </w:p>
        </w:tc>
      </w:tr>
      <w:tr w:rsidR="0061715D" w:rsidRPr="00F506AA" w:rsidTr="0061715D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15,23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76,15</w:t>
            </w:r>
          </w:p>
        </w:tc>
      </w:tr>
      <w:tr w:rsidR="0061715D" w:rsidRPr="00F506AA" w:rsidTr="0061715D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0</w:t>
            </w:r>
          </w:p>
        </w:tc>
      </w:tr>
      <w:tr w:rsidR="0061715D" w:rsidRPr="00F506AA" w:rsidTr="0061715D"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Сумарні витрати на виконання запланованого регулювання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15,23</w:t>
            </w:r>
          </w:p>
        </w:tc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715D" w:rsidRPr="00F506AA" w:rsidRDefault="0061715D" w:rsidP="0061715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F506A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76,15</w:t>
            </w:r>
          </w:p>
        </w:tc>
      </w:tr>
    </w:tbl>
    <w:p w:rsidR="00682CDB" w:rsidRDefault="00682CDB"/>
    <w:p w:rsidR="00F506AA" w:rsidRPr="008C7176" w:rsidRDefault="00F506AA" w:rsidP="00F506A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C7176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uk-UA"/>
        </w:rPr>
        <w:t>5. Розроблення коригуючих (пом’якшувальних) заходів для малого підприємництва щодо запропонованого  регулювання</w:t>
      </w:r>
    </w:p>
    <w:p w:rsidR="00F506AA" w:rsidRDefault="00F506AA" w:rsidP="00F50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Податковим кодексом України визначаються об’єкт, база  оподаткування, податковий період, порядки обчислення суми податку, об’єкта оподаткування, строк, порядок сплати податку та інші його обов’язкові елементи й повноваження органів місцевого самоврядування щодо його встановлення.</w:t>
      </w:r>
    </w:p>
    <w:p w:rsidR="00F506AA" w:rsidRDefault="00F506AA" w:rsidP="00F50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Цей податок не є новим. При його запровадженні для суб’єктів малого підприємництва на законодавчому рівні вже застосовано коригуючі (пом’якшувальні) заходи</w:t>
      </w:r>
    </w:p>
    <w:p w:rsidR="00F506AA" w:rsidRDefault="00F506AA" w:rsidP="00F506AA">
      <w:pPr>
        <w:shd w:val="clear" w:color="auto" w:fill="FFFFFF"/>
        <w:spacing w:after="135" w:line="240" w:lineRule="auto"/>
        <w:ind w:left="23" w:firstLine="68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Запропоновані розміри ставок податку забезпечать вико</w:t>
      </w:r>
      <w:r w:rsidR="00E51FF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нання соціально важливих місцевих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цільових програм, фінансування бюджетної сфери в галузях освіти, соціального захисту, житлово-комунального та дорожнього господарства, транспорту тощо. </w:t>
      </w:r>
    </w:p>
    <w:p w:rsidR="00F506AA" w:rsidRDefault="00F506AA" w:rsidP="00F506AA">
      <w:pPr>
        <w:shd w:val="clear" w:color="auto" w:fill="FFFFFF"/>
        <w:spacing w:after="135" w:line="240" w:lineRule="auto"/>
        <w:ind w:firstLine="23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Установлено не максимальні ставки і це є компенсаторним заходом.</w:t>
      </w:r>
    </w:p>
    <w:p w:rsidR="00F506AA" w:rsidRDefault="00F506AA" w:rsidP="00F506AA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Однак, відповідні норми встановлені Кодексом і не можуть бути врегульовані на рівні місцевих рад.</w:t>
      </w:r>
    </w:p>
    <w:p w:rsidR="00F506AA" w:rsidRDefault="00F506AA" w:rsidP="00F506AA">
      <w:pPr>
        <w:rPr>
          <w:rFonts w:ascii="Times New Roman" w:hAnsi="Times New Roman" w:cs="Times New Roman"/>
          <w:sz w:val="24"/>
          <w:szCs w:val="24"/>
        </w:rPr>
      </w:pPr>
    </w:p>
    <w:p w:rsidR="00F506AA" w:rsidRDefault="00F506AA" w:rsidP="00F506AA">
      <w:pPr>
        <w:pStyle w:val="a3"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Перший заступник міського голови,</w:t>
      </w:r>
    </w:p>
    <w:p w:rsidR="00F506AA" w:rsidRDefault="00F506AA" w:rsidP="00F506AA">
      <w:pPr>
        <w:pStyle w:val="a3"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голова постійної комісії для забезпечення</w:t>
      </w:r>
    </w:p>
    <w:p w:rsidR="00F506AA" w:rsidRDefault="00F506AA" w:rsidP="00F506AA">
      <w:pPr>
        <w:pStyle w:val="a3"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здійснення у виконавчих органах </w:t>
      </w:r>
    </w:p>
    <w:p w:rsidR="00F506AA" w:rsidRDefault="00F506AA" w:rsidP="00F506AA">
      <w:pPr>
        <w:pStyle w:val="a3"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міської ради державної регуляторної </w:t>
      </w:r>
    </w:p>
    <w:p w:rsidR="00F506AA" w:rsidRDefault="00F506AA" w:rsidP="00F506AA">
      <w:pPr>
        <w:pStyle w:val="a3"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політики у сфері господарської діяльності                           Григорій НЕДОПАД</w:t>
      </w:r>
    </w:p>
    <w:p w:rsidR="00F506AA" w:rsidRDefault="00F506AA" w:rsidP="00F506AA">
      <w:pPr>
        <w:pStyle w:val="a3"/>
        <w:jc w:val="both"/>
        <w:rPr>
          <w:b w:val="0"/>
          <w:i w:val="0"/>
          <w:sz w:val="26"/>
        </w:rPr>
      </w:pPr>
    </w:p>
    <w:p w:rsidR="00F506AA" w:rsidRDefault="00F506AA" w:rsidP="00F506AA">
      <w:pPr>
        <w:pStyle w:val="a3"/>
        <w:jc w:val="both"/>
        <w:rPr>
          <w:b w:val="0"/>
          <w:i w:val="0"/>
          <w:sz w:val="26"/>
        </w:rPr>
      </w:pPr>
    </w:p>
    <w:p w:rsidR="00F506AA" w:rsidRDefault="00F506AA" w:rsidP="00F506AA">
      <w:pPr>
        <w:pStyle w:val="a3"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>Директор департаменту</w:t>
      </w:r>
    </w:p>
    <w:p w:rsidR="00F506AA" w:rsidRDefault="00F506AA" w:rsidP="00F506AA">
      <w:pPr>
        <w:pStyle w:val="a3"/>
        <w:jc w:val="both"/>
        <w:rPr>
          <w:b w:val="0"/>
          <w:i w:val="0"/>
          <w:sz w:val="26"/>
        </w:rPr>
      </w:pPr>
      <w:r>
        <w:rPr>
          <w:b w:val="0"/>
          <w:i w:val="0"/>
          <w:sz w:val="26"/>
        </w:rPr>
        <w:t xml:space="preserve"> фінансів та бюджету                                                                           Лілія ЄЛОВА</w:t>
      </w:r>
    </w:p>
    <w:p w:rsidR="00F506AA" w:rsidRDefault="00F506AA" w:rsidP="00F506AA">
      <w:pPr>
        <w:jc w:val="both"/>
      </w:pPr>
    </w:p>
    <w:p w:rsidR="00F506AA" w:rsidRDefault="00F506AA" w:rsidP="00F506AA">
      <w:pPr>
        <w:rPr>
          <w:rFonts w:ascii="Times New Roman" w:hAnsi="Times New Roman" w:cs="Times New Roman"/>
          <w:sz w:val="24"/>
          <w:szCs w:val="24"/>
        </w:rPr>
      </w:pPr>
    </w:p>
    <w:p w:rsidR="00F506AA" w:rsidRDefault="00F506AA"/>
    <w:sectPr w:rsidR="00F506AA" w:rsidSect="00922E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715D"/>
    <w:rsid w:val="000234BA"/>
    <w:rsid w:val="001C4E57"/>
    <w:rsid w:val="00220E40"/>
    <w:rsid w:val="003C3AC6"/>
    <w:rsid w:val="00413489"/>
    <w:rsid w:val="0061715D"/>
    <w:rsid w:val="00682CDB"/>
    <w:rsid w:val="006D46E7"/>
    <w:rsid w:val="00713378"/>
    <w:rsid w:val="008C7176"/>
    <w:rsid w:val="00922E40"/>
    <w:rsid w:val="00A81846"/>
    <w:rsid w:val="00C93759"/>
    <w:rsid w:val="00E51FFF"/>
    <w:rsid w:val="00F5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1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semiHidden/>
    <w:unhideWhenUsed/>
    <w:rsid w:val="00F506A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506AA"/>
    <w:rPr>
      <w:rFonts w:ascii="Times New Roman" w:eastAsia="Times New Roman" w:hAnsi="Times New Roman" w:cs="Times New Roman"/>
      <w:b/>
      <w:i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41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semiHidden/>
    <w:unhideWhenUsed/>
    <w:rsid w:val="00F506A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506AA"/>
    <w:rPr>
      <w:rFonts w:ascii="Times New Roman" w:eastAsia="Times New Roman" w:hAnsi="Times New Roman" w:cs="Times New Roman"/>
      <w:b/>
      <w:i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755-17" TargetMode="External"/><Relationship Id="rId5" Type="http://schemas.openxmlformats.org/officeDocument/2006/relationships/hyperlink" Target="http://search.ligazakon.ua/l_doc2.nsf/link1/T150909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8D6B8-3D62-4B7F-A60F-958F0790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14310</Words>
  <Characters>8157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7</cp:revision>
  <dcterms:created xsi:type="dcterms:W3CDTF">2020-05-18T13:53:00Z</dcterms:created>
  <dcterms:modified xsi:type="dcterms:W3CDTF">2020-05-20T09:43:00Z</dcterms:modified>
</cp:coreProperties>
</file>