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78" w:rsidRPr="009C4103" w:rsidRDefault="00535078" w:rsidP="00535078">
      <w:pPr>
        <w:widowControl/>
        <w:ind w:right="-2"/>
        <w:jc w:val="center"/>
        <w:rPr>
          <w:rFonts w:ascii="Times New Roman" w:eastAsia="Times New Roman" w:hAnsi="Times New Roman" w:cs="Times New Roman"/>
          <w:b/>
          <w:sz w:val="28"/>
          <w:szCs w:val="28"/>
          <w:lang w:val="uk-UA" w:eastAsia="ru-RU"/>
        </w:rPr>
      </w:pPr>
      <w:r w:rsidRPr="009C4103">
        <w:rPr>
          <w:rFonts w:ascii="Times New Roman" w:eastAsia="Times New Roman" w:hAnsi="Times New Roman" w:cs="Times New Roman"/>
          <w:noProof/>
          <w:sz w:val="24"/>
          <w:szCs w:val="24"/>
          <w:lang w:val="uk-UA" w:eastAsia="uk-UA"/>
        </w:rPr>
        <w:drawing>
          <wp:inline distT="0" distB="0" distL="0" distR="0" wp14:anchorId="0EA1F752" wp14:editId="7699BE2E">
            <wp:extent cx="543464" cy="654767"/>
            <wp:effectExtent l="0" t="0" r="9525" b="0"/>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rsidR="00535078" w:rsidRPr="009C4103" w:rsidRDefault="00535078" w:rsidP="00535078">
      <w:pPr>
        <w:widowControl/>
        <w:ind w:right="-2"/>
        <w:jc w:val="center"/>
        <w:rPr>
          <w:rFonts w:ascii="Times New Roman" w:eastAsia="Times New Roman" w:hAnsi="Times New Roman" w:cs="Times New Roman"/>
          <w:b/>
          <w:bCs/>
          <w:sz w:val="40"/>
          <w:szCs w:val="32"/>
          <w:lang w:val="uk-UA" w:eastAsia="ru-RU"/>
        </w:rPr>
      </w:pPr>
      <w:r w:rsidRPr="009C4103">
        <w:rPr>
          <w:rFonts w:ascii="Times New Roman" w:eastAsia="Times New Roman" w:hAnsi="Times New Roman" w:cs="Times New Roman"/>
          <w:b/>
          <w:bCs/>
          <w:sz w:val="40"/>
          <w:szCs w:val="32"/>
          <w:lang w:val="uk-UA" w:eastAsia="ru-RU"/>
        </w:rPr>
        <w:t>ВІННИЦЬКА МІСЬКА РАДА</w:t>
      </w:r>
    </w:p>
    <w:p w:rsidR="00535078" w:rsidRPr="009C4103" w:rsidRDefault="00535078" w:rsidP="00535078">
      <w:pPr>
        <w:widowControl/>
        <w:ind w:right="-2"/>
        <w:jc w:val="center"/>
        <w:rPr>
          <w:rFonts w:ascii="Times New Roman" w:eastAsia="Times New Roman" w:hAnsi="Times New Roman" w:cs="Times New Roman"/>
          <w:b/>
          <w:sz w:val="32"/>
          <w:szCs w:val="28"/>
          <w:lang w:val="uk-UA" w:eastAsia="ru-RU"/>
        </w:rPr>
      </w:pPr>
      <w:r w:rsidRPr="009C4103">
        <w:rPr>
          <w:rFonts w:ascii="Times New Roman" w:eastAsia="Times New Roman" w:hAnsi="Times New Roman" w:cs="Times New Roman"/>
          <w:b/>
          <w:sz w:val="32"/>
          <w:szCs w:val="28"/>
          <w:lang w:val="uk-UA" w:eastAsia="ru-RU"/>
        </w:rPr>
        <w:t>ВИКОНАВЧИЙ КОМІТЕТ</w:t>
      </w:r>
    </w:p>
    <w:p w:rsidR="00535078" w:rsidRPr="009C4103" w:rsidRDefault="00535078" w:rsidP="00535078">
      <w:pPr>
        <w:widowControl/>
        <w:ind w:right="-2"/>
        <w:jc w:val="center"/>
        <w:rPr>
          <w:rFonts w:ascii="Times New Roman" w:eastAsia="Times New Roman" w:hAnsi="Times New Roman" w:cs="Times New Roman"/>
          <w:b/>
          <w:spacing w:val="100"/>
          <w:sz w:val="52"/>
          <w:szCs w:val="36"/>
          <w:lang w:val="uk-UA" w:eastAsia="ru-RU"/>
        </w:rPr>
      </w:pPr>
      <w:r w:rsidRPr="009C4103">
        <w:rPr>
          <w:rFonts w:ascii="Times New Roman" w:eastAsia="Times New Roman" w:hAnsi="Times New Roman" w:cs="Times New Roman"/>
          <w:b/>
          <w:spacing w:val="100"/>
          <w:sz w:val="52"/>
          <w:szCs w:val="36"/>
          <w:lang w:val="uk-UA" w:eastAsia="ru-RU"/>
        </w:rPr>
        <w:t>РІШЕННЯ</w:t>
      </w:r>
    </w:p>
    <w:p w:rsidR="00535078" w:rsidRPr="009C4103" w:rsidRDefault="00535078" w:rsidP="00535078">
      <w:pPr>
        <w:widowControl/>
        <w:ind w:left="-1134" w:right="-2"/>
        <w:jc w:val="center"/>
        <w:rPr>
          <w:rFonts w:ascii="Times New Roman" w:eastAsia="Times New Roman" w:hAnsi="Times New Roman" w:cs="Times New Roman"/>
          <w:bCs/>
          <w:sz w:val="28"/>
          <w:szCs w:val="28"/>
          <w:lang w:val="uk-UA" w:eastAsia="ru-RU"/>
        </w:rPr>
      </w:pPr>
    </w:p>
    <w:p w:rsidR="00535078" w:rsidRPr="009C4103" w:rsidRDefault="00535078" w:rsidP="00535078">
      <w:pPr>
        <w:widowControl/>
        <w:ind w:right="-2"/>
        <w:rPr>
          <w:rFonts w:ascii="Times New Roman" w:eastAsia="Times New Roman" w:hAnsi="Times New Roman" w:cs="Times New Roman"/>
          <w:sz w:val="28"/>
          <w:szCs w:val="28"/>
          <w:lang w:val="uk-UA" w:eastAsia="ru-RU"/>
        </w:rPr>
      </w:pPr>
    </w:p>
    <w:p w:rsidR="00535078" w:rsidRPr="009C4103" w:rsidRDefault="00535078" w:rsidP="00535078">
      <w:pPr>
        <w:widowControl/>
        <w:ind w:right="-2"/>
        <w:rPr>
          <w:rFonts w:ascii="Times New Roman" w:eastAsia="Times New Roman" w:hAnsi="Times New Roman" w:cs="Times New Roman"/>
          <w:sz w:val="28"/>
          <w:szCs w:val="28"/>
          <w:lang w:val="uk-UA" w:eastAsia="ru-RU"/>
        </w:rPr>
      </w:pPr>
      <w:r w:rsidRPr="009C4103">
        <w:rPr>
          <w:rFonts w:ascii="Times New Roman" w:eastAsia="Times New Roman" w:hAnsi="Times New Roman" w:cs="Times New Roman"/>
          <w:sz w:val="28"/>
          <w:szCs w:val="28"/>
          <w:lang w:val="uk-UA" w:eastAsia="ru-RU"/>
        </w:rPr>
        <w:t>Від _____________ № _________</w:t>
      </w:r>
    </w:p>
    <w:p w:rsidR="00535078" w:rsidRPr="009C4103" w:rsidRDefault="00535078" w:rsidP="00535078">
      <w:pPr>
        <w:widowControl/>
        <w:ind w:left="708" w:right="-2" w:firstLine="708"/>
        <w:rPr>
          <w:rFonts w:ascii="Times New Roman" w:eastAsia="Times New Roman" w:hAnsi="Times New Roman" w:cs="Times New Roman"/>
          <w:sz w:val="28"/>
          <w:szCs w:val="28"/>
          <w:lang w:val="uk-UA" w:eastAsia="ru-RU"/>
        </w:rPr>
      </w:pPr>
      <w:r w:rsidRPr="009C4103">
        <w:rPr>
          <w:rFonts w:ascii="Times New Roman" w:eastAsia="Times New Roman" w:hAnsi="Times New Roman" w:cs="Times New Roman"/>
          <w:sz w:val="28"/>
          <w:szCs w:val="28"/>
          <w:lang w:val="uk-UA" w:eastAsia="ru-RU"/>
        </w:rPr>
        <w:t>м. Вінниця</w:t>
      </w: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9C4103" w:rsidRDefault="00535078" w:rsidP="00535078">
      <w:pPr>
        <w:widowControl/>
        <w:jc w:val="both"/>
        <w:rPr>
          <w:rFonts w:ascii="Times New Roman" w:eastAsia="Calibri" w:hAnsi="Times New Roman" w:cs="Times New Roman"/>
          <w:b/>
          <w:sz w:val="28"/>
          <w:szCs w:val="28"/>
          <w:lang w:val="uk-UA"/>
        </w:rPr>
      </w:pPr>
    </w:p>
    <w:p w:rsidR="00535078" w:rsidRPr="009C4103" w:rsidRDefault="00535078" w:rsidP="00535078">
      <w:pPr>
        <w:widowControl/>
        <w:jc w:val="both"/>
        <w:rPr>
          <w:rFonts w:ascii="Times New Roman" w:eastAsia="Calibri" w:hAnsi="Times New Roman" w:cs="Times New Roman"/>
          <w:b/>
          <w:sz w:val="28"/>
          <w:szCs w:val="28"/>
          <w:lang w:val="uk-UA"/>
        </w:rPr>
      </w:pPr>
      <w:r w:rsidRPr="009C4103">
        <w:rPr>
          <w:rFonts w:ascii="Times New Roman" w:eastAsia="Calibri" w:hAnsi="Times New Roman" w:cs="Times New Roman"/>
          <w:b/>
          <w:sz w:val="28"/>
          <w:szCs w:val="28"/>
          <w:lang w:val="uk-UA"/>
        </w:rPr>
        <w:t>Про про</w:t>
      </w:r>
      <w:r w:rsidR="001210D4">
        <w:rPr>
          <w:rFonts w:ascii="Times New Roman" w:eastAsia="Calibri" w:hAnsi="Times New Roman" w:cs="Times New Roman"/>
          <w:b/>
          <w:sz w:val="28"/>
          <w:szCs w:val="28"/>
          <w:lang w:val="uk-UA"/>
        </w:rPr>
        <w:t>є</w:t>
      </w:r>
      <w:r w:rsidRPr="009C4103">
        <w:rPr>
          <w:rFonts w:ascii="Times New Roman" w:eastAsia="Calibri" w:hAnsi="Times New Roman" w:cs="Times New Roman"/>
          <w:b/>
          <w:sz w:val="28"/>
          <w:szCs w:val="28"/>
          <w:lang w:val="uk-UA"/>
        </w:rPr>
        <w:t xml:space="preserve">кт рішення міської ради </w:t>
      </w:r>
    </w:p>
    <w:p w:rsidR="00977853" w:rsidRDefault="00535078" w:rsidP="00977853">
      <w:pPr>
        <w:widowControl/>
        <w:jc w:val="both"/>
        <w:rPr>
          <w:rFonts w:ascii="Times New Roman" w:eastAsia="Calibri" w:hAnsi="Times New Roman" w:cs="Times New Roman"/>
          <w:b/>
          <w:sz w:val="28"/>
          <w:szCs w:val="28"/>
          <w:lang w:val="uk-UA"/>
        </w:rPr>
      </w:pPr>
      <w:r w:rsidRPr="009C4103">
        <w:rPr>
          <w:rFonts w:ascii="Times New Roman" w:eastAsia="Calibri" w:hAnsi="Times New Roman" w:cs="Times New Roman"/>
          <w:b/>
          <w:sz w:val="28"/>
          <w:szCs w:val="28"/>
          <w:lang w:val="uk-UA"/>
        </w:rPr>
        <w:t>«</w:t>
      </w:r>
      <w:r w:rsidR="00D47204" w:rsidRPr="00D47204">
        <w:rPr>
          <w:rFonts w:ascii="Times New Roman" w:eastAsia="Calibri" w:hAnsi="Times New Roman" w:cs="Times New Roman"/>
          <w:b/>
          <w:sz w:val="28"/>
          <w:szCs w:val="28"/>
          <w:lang w:val="uk-UA"/>
        </w:rPr>
        <w:t xml:space="preserve">Про затвердження </w:t>
      </w:r>
      <w:r w:rsidR="00977853">
        <w:rPr>
          <w:rFonts w:ascii="Times New Roman" w:eastAsia="Calibri" w:hAnsi="Times New Roman" w:cs="Times New Roman"/>
          <w:b/>
          <w:sz w:val="28"/>
          <w:szCs w:val="28"/>
          <w:lang w:val="uk-UA"/>
        </w:rPr>
        <w:t>«</w:t>
      </w:r>
      <w:r w:rsidR="00977853" w:rsidRPr="00977853">
        <w:rPr>
          <w:rFonts w:ascii="Times New Roman" w:eastAsia="Calibri" w:hAnsi="Times New Roman" w:cs="Times New Roman"/>
          <w:b/>
          <w:sz w:val="28"/>
          <w:szCs w:val="28"/>
          <w:lang w:val="uk-UA"/>
        </w:rPr>
        <w:t>Програм</w:t>
      </w:r>
      <w:r w:rsidR="00362C53">
        <w:rPr>
          <w:rFonts w:ascii="Times New Roman" w:eastAsia="Calibri" w:hAnsi="Times New Roman" w:cs="Times New Roman"/>
          <w:b/>
          <w:sz w:val="28"/>
          <w:szCs w:val="28"/>
          <w:lang w:val="uk-UA"/>
        </w:rPr>
        <w:t>и</w:t>
      </w:r>
    </w:p>
    <w:p w:rsidR="00977853" w:rsidRDefault="00977853" w:rsidP="00977853">
      <w:pPr>
        <w:widowControl/>
        <w:jc w:val="both"/>
        <w:rPr>
          <w:rFonts w:ascii="Times New Roman" w:eastAsia="Calibri" w:hAnsi="Times New Roman" w:cs="Times New Roman"/>
          <w:b/>
          <w:sz w:val="28"/>
          <w:szCs w:val="28"/>
          <w:lang w:val="uk-UA"/>
        </w:rPr>
      </w:pPr>
      <w:r w:rsidRPr="00977853">
        <w:rPr>
          <w:rFonts w:ascii="Times New Roman" w:eastAsia="Calibri" w:hAnsi="Times New Roman" w:cs="Times New Roman"/>
          <w:b/>
          <w:sz w:val="28"/>
          <w:szCs w:val="28"/>
          <w:lang w:val="uk-UA"/>
        </w:rPr>
        <w:t xml:space="preserve">розвитку туризму Вінницької </w:t>
      </w:r>
    </w:p>
    <w:p w:rsidR="00535078" w:rsidRPr="009C4103" w:rsidRDefault="00977853" w:rsidP="00977853">
      <w:pPr>
        <w:widowControl/>
        <w:jc w:val="both"/>
        <w:rPr>
          <w:rFonts w:ascii="Times New Roman" w:eastAsia="Calibri" w:hAnsi="Times New Roman" w:cs="Times New Roman"/>
          <w:b/>
          <w:sz w:val="28"/>
          <w:szCs w:val="28"/>
          <w:lang w:val="uk-UA"/>
        </w:rPr>
      </w:pPr>
      <w:r w:rsidRPr="00977853">
        <w:rPr>
          <w:rFonts w:ascii="Times New Roman" w:eastAsia="Calibri" w:hAnsi="Times New Roman" w:cs="Times New Roman"/>
          <w:b/>
          <w:sz w:val="28"/>
          <w:szCs w:val="28"/>
          <w:lang w:val="uk-UA"/>
        </w:rPr>
        <w:t>міської ОТГ на 2021-2023 роки</w:t>
      </w:r>
      <w:r>
        <w:rPr>
          <w:rFonts w:ascii="Times New Roman" w:eastAsia="Calibri" w:hAnsi="Times New Roman" w:cs="Times New Roman"/>
          <w:b/>
          <w:sz w:val="28"/>
          <w:szCs w:val="28"/>
          <w:lang w:val="uk-UA"/>
        </w:rPr>
        <w:t>»»</w:t>
      </w: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9C4103" w:rsidRDefault="00535078" w:rsidP="00535078">
      <w:pPr>
        <w:widowControl/>
        <w:ind w:firstLine="708"/>
        <w:jc w:val="both"/>
        <w:rPr>
          <w:rFonts w:ascii="Times New Roman" w:eastAsia="Calibri" w:hAnsi="Times New Roman" w:cs="Times New Roman"/>
          <w:sz w:val="28"/>
          <w:szCs w:val="28"/>
          <w:lang w:val="uk-UA"/>
        </w:rPr>
      </w:pPr>
      <w:r w:rsidRPr="009C4103">
        <w:rPr>
          <w:rFonts w:ascii="Times New Roman" w:eastAsia="Calibri" w:hAnsi="Times New Roman" w:cs="Times New Roman"/>
          <w:sz w:val="28"/>
          <w:szCs w:val="28"/>
          <w:lang w:val="uk-UA"/>
        </w:rPr>
        <w:t>Керуючись</w:t>
      </w:r>
      <w:r w:rsidRPr="009C4103">
        <w:rPr>
          <w:rFonts w:ascii="Times New Roman" w:eastAsia="Calibri" w:hAnsi="Times New Roman" w:cs="Times New Roman"/>
          <w:sz w:val="28"/>
          <w:szCs w:val="28"/>
          <w:lang w:val="ru-RU"/>
        </w:rPr>
        <w:t xml:space="preserve"> </w:t>
      </w:r>
      <w:r w:rsidRPr="009C4103">
        <w:rPr>
          <w:rFonts w:ascii="Times New Roman" w:eastAsia="Calibri" w:hAnsi="Times New Roman" w:cs="Times New Roman"/>
          <w:sz w:val="28"/>
          <w:szCs w:val="28"/>
          <w:lang w:val="uk-UA"/>
        </w:rPr>
        <w:t xml:space="preserve"> пунктом 1 частини 2 статті 52, частиною 6 статті 59 Закону України «Про місцеве самоврядування в Україні», виконавчий комітет міської ради </w:t>
      </w: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9C4103" w:rsidRDefault="00535078" w:rsidP="00535078">
      <w:pPr>
        <w:widowControl/>
        <w:jc w:val="center"/>
        <w:rPr>
          <w:rFonts w:ascii="Times New Roman" w:eastAsia="Calibri" w:hAnsi="Times New Roman" w:cs="Times New Roman"/>
          <w:sz w:val="28"/>
          <w:szCs w:val="28"/>
          <w:lang w:val="uk-UA"/>
        </w:rPr>
      </w:pPr>
      <w:r w:rsidRPr="009C4103">
        <w:rPr>
          <w:rFonts w:ascii="Times New Roman" w:eastAsia="Calibri" w:hAnsi="Times New Roman" w:cs="Times New Roman"/>
          <w:sz w:val="28"/>
          <w:szCs w:val="28"/>
          <w:lang w:val="uk-UA"/>
        </w:rPr>
        <w:t>ВИРІШИВ:</w:t>
      </w: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D47204" w:rsidRDefault="00535078" w:rsidP="0040412D">
      <w:pPr>
        <w:widowControl/>
        <w:numPr>
          <w:ilvl w:val="0"/>
          <w:numId w:val="1"/>
        </w:numPr>
        <w:tabs>
          <w:tab w:val="clear" w:pos="720"/>
        </w:tabs>
        <w:spacing w:after="120"/>
        <w:ind w:left="714" w:hanging="357"/>
        <w:jc w:val="both"/>
        <w:rPr>
          <w:rFonts w:ascii="Times New Roman" w:eastAsia="Calibri" w:hAnsi="Times New Roman" w:cs="Times New Roman"/>
          <w:sz w:val="28"/>
          <w:szCs w:val="28"/>
          <w:lang w:val="uk-UA"/>
        </w:rPr>
      </w:pPr>
      <w:r w:rsidRPr="00D47204">
        <w:rPr>
          <w:rFonts w:ascii="Times New Roman" w:eastAsia="Calibri" w:hAnsi="Times New Roman" w:cs="Times New Roman"/>
          <w:sz w:val="28"/>
          <w:szCs w:val="28"/>
          <w:lang w:val="uk-UA"/>
        </w:rPr>
        <w:t>Схвалити про</w:t>
      </w:r>
      <w:r w:rsidR="001210D4">
        <w:rPr>
          <w:rFonts w:ascii="Times New Roman" w:eastAsia="Calibri" w:hAnsi="Times New Roman" w:cs="Times New Roman"/>
          <w:sz w:val="28"/>
          <w:szCs w:val="28"/>
          <w:lang w:val="uk-UA"/>
        </w:rPr>
        <w:t>є</w:t>
      </w:r>
      <w:r w:rsidRPr="00D47204">
        <w:rPr>
          <w:rFonts w:ascii="Times New Roman" w:eastAsia="Calibri" w:hAnsi="Times New Roman" w:cs="Times New Roman"/>
          <w:sz w:val="28"/>
          <w:szCs w:val="28"/>
          <w:lang w:val="uk-UA"/>
        </w:rPr>
        <w:t xml:space="preserve">кт рішення міської ради </w:t>
      </w:r>
      <w:r w:rsidR="00D47204" w:rsidRPr="00D47204">
        <w:rPr>
          <w:rFonts w:ascii="Times New Roman" w:eastAsia="Calibri" w:hAnsi="Times New Roman" w:cs="Times New Roman"/>
          <w:sz w:val="28"/>
          <w:szCs w:val="28"/>
          <w:lang w:val="uk-UA"/>
        </w:rPr>
        <w:t>«</w:t>
      </w:r>
      <w:r w:rsidR="00977853" w:rsidRPr="00977853">
        <w:rPr>
          <w:rFonts w:ascii="Times New Roman" w:eastAsia="Calibri" w:hAnsi="Times New Roman" w:cs="Times New Roman"/>
          <w:sz w:val="28"/>
          <w:szCs w:val="28"/>
          <w:lang w:val="uk-UA"/>
        </w:rPr>
        <w:t>Про затвердження «Програм</w:t>
      </w:r>
      <w:r w:rsidR="00977853">
        <w:rPr>
          <w:rFonts w:ascii="Times New Roman" w:eastAsia="Calibri" w:hAnsi="Times New Roman" w:cs="Times New Roman"/>
          <w:sz w:val="28"/>
          <w:szCs w:val="28"/>
          <w:lang w:val="uk-UA"/>
        </w:rPr>
        <w:t>и</w:t>
      </w:r>
      <w:r w:rsidR="00977853" w:rsidRPr="00977853">
        <w:rPr>
          <w:rFonts w:ascii="Times New Roman" w:eastAsia="Calibri" w:hAnsi="Times New Roman" w:cs="Times New Roman"/>
          <w:sz w:val="28"/>
          <w:szCs w:val="28"/>
          <w:lang w:val="uk-UA"/>
        </w:rPr>
        <w:t xml:space="preserve"> розвитку туризму Вінницької міської ОТГ на 2021-2023 роки</w:t>
      </w:r>
      <w:r w:rsidR="00C05D73">
        <w:rPr>
          <w:rFonts w:ascii="Times New Roman" w:eastAsia="Calibri" w:hAnsi="Times New Roman" w:cs="Times New Roman"/>
          <w:sz w:val="28"/>
          <w:szCs w:val="28"/>
          <w:lang w:val="uk-UA"/>
        </w:rPr>
        <w:t>»</w:t>
      </w:r>
      <w:r w:rsidR="00977853">
        <w:rPr>
          <w:rFonts w:ascii="Times New Roman" w:eastAsia="Calibri" w:hAnsi="Times New Roman" w:cs="Times New Roman"/>
          <w:sz w:val="28"/>
          <w:szCs w:val="28"/>
          <w:lang w:val="uk-UA"/>
        </w:rPr>
        <w:t>»</w:t>
      </w:r>
      <w:r w:rsidRPr="00D47204">
        <w:rPr>
          <w:rFonts w:ascii="Times New Roman" w:eastAsia="Calibri" w:hAnsi="Times New Roman" w:cs="Times New Roman"/>
          <w:sz w:val="28"/>
          <w:szCs w:val="28"/>
          <w:lang w:val="uk-UA"/>
        </w:rPr>
        <w:t xml:space="preserve"> згідно з додатком до даного рішення.</w:t>
      </w:r>
    </w:p>
    <w:p w:rsidR="00535078" w:rsidRPr="009C4103" w:rsidRDefault="00535078" w:rsidP="0040412D">
      <w:pPr>
        <w:widowControl/>
        <w:numPr>
          <w:ilvl w:val="0"/>
          <w:numId w:val="1"/>
        </w:numPr>
        <w:tabs>
          <w:tab w:val="clear" w:pos="720"/>
        </w:tabs>
        <w:spacing w:after="120"/>
        <w:ind w:left="714" w:hanging="357"/>
        <w:jc w:val="both"/>
        <w:rPr>
          <w:rFonts w:ascii="Times New Roman" w:eastAsia="Calibri" w:hAnsi="Times New Roman" w:cs="Times New Roman"/>
          <w:sz w:val="28"/>
          <w:szCs w:val="28"/>
          <w:lang w:val="uk-UA"/>
        </w:rPr>
      </w:pPr>
      <w:r w:rsidRPr="009C4103">
        <w:rPr>
          <w:rFonts w:ascii="Times New Roman" w:eastAsia="Calibri" w:hAnsi="Times New Roman" w:cs="Times New Roman"/>
          <w:sz w:val="28"/>
          <w:szCs w:val="28"/>
          <w:lang w:val="uk-UA"/>
        </w:rPr>
        <w:t xml:space="preserve">Подати вищезазначений проект рішення на розгляд міської ради. </w:t>
      </w:r>
    </w:p>
    <w:p w:rsidR="00535078" w:rsidRPr="009C4103" w:rsidRDefault="00535078" w:rsidP="0040412D">
      <w:pPr>
        <w:widowControl/>
        <w:numPr>
          <w:ilvl w:val="0"/>
          <w:numId w:val="1"/>
        </w:numPr>
        <w:tabs>
          <w:tab w:val="clear" w:pos="720"/>
        </w:tabs>
        <w:spacing w:after="120"/>
        <w:ind w:left="714" w:hanging="357"/>
        <w:jc w:val="both"/>
        <w:rPr>
          <w:rFonts w:ascii="Times New Roman" w:eastAsia="Calibri" w:hAnsi="Times New Roman" w:cs="Times New Roman"/>
          <w:sz w:val="28"/>
          <w:szCs w:val="28"/>
          <w:lang w:val="uk-UA"/>
        </w:rPr>
      </w:pPr>
      <w:r w:rsidRPr="009C4103">
        <w:rPr>
          <w:rFonts w:ascii="Times New Roman" w:eastAsia="Calibri" w:hAnsi="Times New Roman" w:cs="Times New Roman"/>
          <w:sz w:val="28"/>
          <w:szCs w:val="28"/>
          <w:lang w:val="uk-UA"/>
        </w:rPr>
        <w:t>Відділу організаційного забезпечення та діловодства апарату міської ради та її виконкому подати дане рішення до секретаріату міської ради для включення до проекту порядку денного чергової сесії міської ради.</w:t>
      </w:r>
    </w:p>
    <w:p w:rsidR="00535078" w:rsidRPr="009C4103" w:rsidRDefault="00535078" w:rsidP="0040412D">
      <w:pPr>
        <w:widowControl/>
        <w:numPr>
          <w:ilvl w:val="0"/>
          <w:numId w:val="1"/>
        </w:numPr>
        <w:tabs>
          <w:tab w:val="clear" w:pos="720"/>
        </w:tabs>
        <w:spacing w:after="120"/>
        <w:ind w:left="714" w:hanging="357"/>
        <w:jc w:val="both"/>
        <w:rPr>
          <w:rFonts w:ascii="Times New Roman" w:eastAsia="Calibri" w:hAnsi="Times New Roman" w:cs="Times New Roman"/>
          <w:sz w:val="28"/>
          <w:szCs w:val="28"/>
          <w:lang w:val="uk-UA"/>
        </w:rPr>
      </w:pPr>
      <w:r w:rsidRPr="009C4103">
        <w:rPr>
          <w:rFonts w:ascii="Times New Roman" w:eastAsia="Calibri" w:hAnsi="Times New Roman" w:cs="Times New Roman"/>
          <w:sz w:val="28"/>
          <w:szCs w:val="28"/>
          <w:lang w:val="uk-UA"/>
        </w:rPr>
        <w:t xml:space="preserve">Контроль за виконанням даного рішення покласти на заступника міського голови </w:t>
      </w:r>
      <w:r w:rsidR="00D47204">
        <w:rPr>
          <w:rFonts w:ascii="Times New Roman" w:eastAsia="Calibri" w:hAnsi="Times New Roman" w:cs="Times New Roman"/>
          <w:sz w:val="28"/>
          <w:szCs w:val="28"/>
          <w:lang w:val="uk-UA"/>
        </w:rPr>
        <w:t>А.Очеретного</w:t>
      </w:r>
      <w:r w:rsidRPr="009C4103">
        <w:rPr>
          <w:rFonts w:ascii="Times New Roman" w:eastAsia="Calibri" w:hAnsi="Times New Roman" w:cs="Times New Roman"/>
          <w:sz w:val="28"/>
          <w:szCs w:val="28"/>
          <w:lang w:val="uk-UA"/>
        </w:rPr>
        <w:t>.</w:t>
      </w: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9C4103" w:rsidRDefault="00535078" w:rsidP="00535078">
      <w:pPr>
        <w:widowControl/>
        <w:ind w:firstLine="709"/>
        <w:jc w:val="both"/>
        <w:rPr>
          <w:rFonts w:ascii="Times New Roman" w:eastAsia="Calibri" w:hAnsi="Times New Roman" w:cs="Times New Roman"/>
          <w:sz w:val="28"/>
          <w:szCs w:val="28"/>
          <w:lang w:val="ru-RU"/>
        </w:rPr>
      </w:pPr>
    </w:p>
    <w:p w:rsidR="00535078" w:rsidRPr="009C4103" w:rsidRDefault="00535078" w:rsidP="00535078">
      <w:pPr>
        <w:widowControl/>
        <w:ind w:firstLine="709"/>
        <w:jc w:val="both"/>
        <w:rPr>
          <w:rFonts w:ascii="Times New Roman" w:eastAsia="Calibri" w:hAnsi="Times New Roman" w:cs="Times New Roman"/>
          <w:sz w:val="28"/>
          <w:szCs w:val="28"/>
          <w:lang w:val="uk-UA"/>
        </w:rPr>
      </w:pPr>
    </w:p>
    <w:p w:rsidR="00535078" w:rsidRPr="009C4103" w:rsidRDefault="00535078" w:rsidP="00535078">
      <w:pPr>
        <w:widowControl/>
        <w:ind w:left="707" w:firstLine="709"/>
        <w:jc w:val="both"/>
        <w:rPr>
          <w:rFonts w:ascii="Times New Roman" w:eastAsia="Calibri" w:hAnsi="Times New Roman" w:cs="Times New Roman"/>
          <w:b/>
          <w:sz w:val="28"/>
          <w:szCs w:val="28"/>
          <w:lang w:val="uk-UA"/>
        </w:rPr>
      </w:pPr>
      <w:r w:rsidRPr="009C4103">
        <w:rPr>
          <w:rFonts w:ascii="Times New Roman" w:eastAsia="Calibri" w:hAnsi="Times New Roman" w:cs="Times New Roman"/>
          <w:b/>
          <w:sz w:val="28"/>
          <w:szCs w:val="28"/>
          <w:lang w:val="uk-UA"/>
        </w:rPr>
        <w:t xml:space="preserve">Міський голова </w:t>
      </w:r>
      <w:r w:rsidRPr="009C4103">
        <w:rPr>
          <w:rFonts w:ascii="Times New Roman" w:eastAsia="Calibri" w:hAnsi="Times New Roman" w:cs="Times New Roman"/>
          <w:b/>
          <w:sz w:val="28"/>
          <w:szCs w:val="28"/>
          <w:lang w:val="uk-UA"/>
        </w:rPr>
        <w:tab/>
      </w:r>
      <w:r w:rsidRPr="009C4103">
        <w:rPr>
          <w:rFonts w:ascii="Times New Roman" w:eastAsia="Calibri" w:hAnsi="Times New Roman" w:cs="Times New Roman"/>
          <w:b/>
          <w:sz w:val="28"/>
          <w:szCs w:val="28"/>
          <w:lang w:val="uk-UA"/>
        </w:rPr>
        <w:tab/>
      </w:r>
      <w:r w:rsidRPr="009C4103">
        <w:rPr>
          <w:rFonts w:ascii="Times New Roman" w:eastAsia="Calibri" w:hAnsi="Times New Roman" w:cs="Times New Roman"/>
          <w:b/>
          <w:sz w:val="28"/>
          <w:szCs w:val="28"/>
          <w:lang w:val="uk-UA"/>
        </w:rPr>
        <w:tab/>
      </w:r>
      <w:r w:rsidRPr="009C4103">
        <w:rPr>
          <w:rFonts w:ascii="Times New Roman" w:eastAsia="Calibri" w:hAnsi="Times New Roman" w:cs="Times New Roman"/>
          <w:b/>
          <w:sz w:val="28"/>
          <w:szCs w:val="28"/>
          <w:lang w:val="uk-UA"/>
        </w:rPr>
        <w:tab/>
      </w:r>
      <w:r w:rsidRPr="009C4103">
        <w:rPr>
          <w:rFonts w:ascii="Times New Roman" w:eastAsia="Calibri" w:hAnsi="Times New Roman" w:cs="Times New Roman"/>
          <w:b/>
          <w:sz w:val="28"/>
          <w:szCs w:val="28"/>
          <w:lang w:val="uk-UA"/>
        </w:rPr>
        <w:tab/>
      </w:r>
      <w:r w:rsidRPr="009C4103">
        <w:rPr>
          <w:rFonts w:ascii="Times New Roman" w:eastAsia="Calibri" w:hAnsi="Times New Roman" w:cs="Times New Roman"/>
          <w:b/>
          <w:sz w:val="28"/>
          <w:szCs w:val="28"/>
          <w:lang w:val="uk-UA"/>
        </w:rPr>
        <w:tab/>
        <w:t>С.Моргунов</w:t>
      </w:r>
    </w:p>
    <w:p w:rsidR="00946A47" w:rsidRPr="009C4103" w:rsidRDefault="00946A47">
      <w:pPr>
        <w:rPr>
          <w:lang w:val="ru-RU"/>
        </w:rPr>
      </w:pPr>
    </w:p>
    <w:p w:rsidR="00535078" w:rsidRPr="009C4103" w:rsidRDefault="00535078">
      <w:pPr>
        <w:rPr>
          <w:lang w:val="ru-RU"/>
        </w:rPr>
      </w:pPr>
    </w:p>
    <w:p w:rsidR="00535078" w:rsidRPr="009C4103" w:rsidRDefault="00535078">
      <w:pPr>
        <w:rPr>
          <w:lang w:val="ru-RU"/>
        </w:rPr>
        <w:sectPr w:rsidR="00535078" w:rsidRPr="009C4103">
          <w:type w:val="continuous"/>
          <w:pgSz w:w="11910" w:h="16840"/>
          <w:pgMar w:top="460" w:right="600" w:bottom="280" w:left="1600" w:header="708" w:footer="708" w:gutter="0"/>
          <w:cols w:space="720"/>
        </w:sectPr>
      </w:pPr>
    </w:p>
    <w:p w:rsidR="00535078" w:rsidRPr="009C4103" w:rsidRDefault="00535078" w:rsidP="00535078">
      <w:pPr>
        <w:jc w:val="right"/>
        <w:rPr>
          <w:rFonts w:ascii="Times New Roman" w:hAnsi="Times New Roman"/>
          <w:sz w:val="28"/>
          <w:szCs w:val="28"/>
          <w:lang w:val="uk-UA"/>
        </w:rPr>
      </w:pPr>
      <w:r w:rsidRPr="009C4103">
        <w:rPr>
          <w:rFonts w:ascii="Times New Roman" w:hAnsi="Times New Roman"/>
          <w:sz w:val="28"/>
          <w:szCs w:val="28"/>
          <w:lang w:val="uk-UA"/>
        </w:rPr>
        <w:lastRenderedPageBreak/>
        <w:t>Додаток</w:t>
      </w:r>
      <w:r w:rsidRPr="009C4103">
        <w:rPr>
          <w:rFonts w:ascii="Times New Roman" w:hAnsi="Times New Roman"/>
          <w:sz w:val="28"/>
          <w:szCs w:val="28"/>
          <w:lang w:val="uk-UA"/>
        </w:rPr>
        <w:tab/>
      </w:r>
      <w:r w:rsidRPr="009C4103">
        <w:rPr>
          <w:rFonts w:ascii="Times New Roman" w:hAnsi="Times New Roman"/>
          <w:sz w:val="28"/>
          <w:szCs w:val="28"/>
          <w:lang w:val="uk-UA"/>
        </w:rPr>
        <w:tab/>
      </w:r>
      <w:r w:rsidRPr="009C4103">
        <w:rPr>
          <w:rFonts w:ascii="Times New Roman" w:hAnsi="Times New Roman"/>
          <w:sz w:val="28"/>
          <w:szCs w:val="28"/>
          <w:lang w:val="uk-UA"/>
        </w:rPr>
        <w:tab/>
      </w:r>
      <w:r w:rsidRPr="009C4103">
        <w:rPr>
          <w:rFonts w:ascii="Times New Roman" w:hAnsi="Times New Roman"/>
          <w:sz w:val="28"/>
          <w:szCs w:val="28"/>
          <w:lang w:val="uk-UA"/>
        </w:rPr>
        <w:tab/>
      </w:r>
      <w:r w:rsidRPr="009C4103">
        <w:rPr>
          <w:rFonts w:ascii="Times New Roman" w:hAnsi="Times New Roman"/>
          <w:sz w:val="28"/>
          <w:szCs w:val="28"/>
          <w:lang w:val="uk-UA"/>
        </w:rPr>
        <w:tab/>
      </w:r>
    </w:p>
    <w:p w:rsidR="00535078" w:rsidRPr="009C4103" w:rsidRDefault="00535078" w:rsidP="00535078">
      <w:pPr>
        <w:jc w:val="right"/>
        <w:rPr>
          <w:rFonts w:ascii="Times New Roman" w:hAnsi="Times New Roman"/>
          <w:sz w:val="28"/>
          <w:szCs w:val="28"/>
          <w:lang w:val="uk-UA"/>
        </w:rPr>
      </w:pPr>
      <w:r w:rsidRPr="009C4103">
        <w:rPr>
          <w:rFonts w:ascii="Times New Roman" w:hAnsi="Times New Roman"/>
          <w:sz w:val="28"/>
          <w:szCs w:val="28"/>
          <w:lang w:val="uk-UA"/>
        </w:rPr>
        <w:t>до рішення виконавчого комітету</w:t>
      </w:r>
      <w:r w:rsidRPr="009C4103">
        <w:rPr>
          <w:rFonts w:ascii="Times New Roman" w:hAnsi="Times New Roman"/>
          <w:sz w:val="28"/>
          <w:szCs w:val="28"/>
          <w:lang w:val="uk-UA"/>
        </w:rPr>
        <w:tab/>
      </w:r>
    </w:p>
    <w:p w:rsidR="00535078" w:rsidRPr="009C4103" w:rsidRDefault="00535078" w:rsidP="00535078">
      <w:pPr>
        <w:jc w:val="right"/>
        <w:rPr>
          <w:rFonts w:ascii="Times New Roman" w:hAnsi="Times New Roman"/>
          <w:sz w:val="28"/>
          <w:szCs w:val="28"/>
          <w:lang w:val="uk-UA"/>
        </w:rPr>
      </w:pPr>
      <w:r w:rsidRPr="009C4103">
        <w:rPr>
          <w:rFonts w:ascii="Times New Roman" w:hAnsi="Times New Roman"/>
          <w:sz w:val="28"/>
          <w:szCs w:val="28"/>
          <w:lang w:val="uk-UA"/>
        </w:rPr>
        <w:t>міської ради</w:t>
      </w:r>
      <w:r w:rsidRPr="009C4103">
        <w:rPr>
          <w:rFonts w:ascii="Times New Roman" w:hAnsi="Times New Roman"/>
          <w:sz w:val="28"/>
          <w:szCs w:val="28"/>
          <w:lang w:val="uk-UA"/>
        </w:rPr>
        <w:tab/>
      </w:r>
      <w:r w:rsidRPr="009C4103">
        <w:rPr>
          <w:rFonts w:ascii="Times New Roman" w:hAnsi="Times New Roman"/>
          <w:sz w:val="28"/>
          <w:szCs w:val="28"/>
          <w:lang w:val="uk-UA"/>
        </w:rPr>
        <w:tab/>
      </w:r>
      <w:r w:rsidRPr="009C4103">
        <w:rPr>
          <w:rFonts w:ascii="Times New Roman" w:hAnsi="Times New Roman"/>
          <w:sz w:val="28"/>
          <w:szCs w:val="28"/>
          <w:lang w:val="uk-UA"/>
        </w:rPr>
        <w:tab/>
      </w:r>
      <w:r w:rsidRPr="009C4103">
        <w:rPr>
          <w:rFonts w:ascii="Times New Roman" w:hAnsi="Times New Roman"/>
          <w:sz w:val="28"/>
          <w:szCs w:val="28"/>
          <w:lang w:val="uk-UA"/>
        </w:rPr>
        <w:tab/>
      </w:r>
    </w:p>
    <w:p w:rsidR="00535078" w:rsidRPr="0034650A" w:rsidRDefault="00535078" w:rsidP="00535078">
      <w:pPr>
        <w:jc w:val="right"/>
        <w:rPr>
          <w:rFonts w:ascii="Times New Roman" w:hAnsi="Times New Roman"/>
          <w:sz w:val="28"/>
          <w:szCs w:val="28"/>
          <w:lang w:val="uk-UA"/>
        </w:rPr>
      </w:pPr>
      <w:r w:rsidRPr="009C4103">
        <w:rPr>
          <w:rFonts w:ascii="Times New Roman" w:hAnsi="Times New Roman"/>
          <w:sz w:val="28"/>
          <w:szCs w:val="28"/>
          <w:lang w:val="uk-UA"/>
        </w:rPr>
        <w:t>від _______________</w:t>
      </w:r>
      <w:r w:rsidRPr="0034650A">
        <w:rPr>
          <w:rFonts w:ascii="Times New Roman" w:hAnsi="Times New Roman"/>
          <w:sz w:val="28"/>
          <w:szCs w:val="28"/>
          <w:lang w:val="uk-UA"/>
        </w:rPr>
        <w:t xml:space="preserve"> № _________</w:t>
      </w:r>
      <w:r w:rsidRPr="0034650A">
        <w:rPr>
          <w:rFonts w:ascii="Times New Roman" w:hAnsi="Times New Roman"/>
          <w:sz w:val="28"/>
          <w:szCs w:val="28"/>
          <w:lang w:val="uk-UA"/>
        </w:rPr>
        <w:tab/>
      </w:r>
    </w:p>
    <w:p w:rsidR="00535078" w:rsidRPr="0034650A" w:rsidRDefault="00535078" w:rsidP="00535078">
      <w:pPr>
        <w:jc w:val="right"/>
        <w:rPr>
          <w:rFonts w:ascii="Times New Roman" w:hAnsi="Times New Roman"/>
          <w:sz w:val="28"/>
          <w:szCs w:val="28"/>
          <w:lang w:val="uk-UA"/>
        </w:rPr>
      </w:pPr>
    </w:p>
    <w:p w:rsidR="00535078" w:rsidRPr="0034650A" w:rsidRDefault="00535078" w:rsidP="00535078">
      <w:pPr>
        <w:jc w:val="right"/>
        <w:rPr>
          <w:rFonts w:ascii="Times New Roman" w:hAnsi="Times New Roman"/>
          <w:sz w:val="28"/>
          <w:szCs w:val="28"/>
          <w:lang w:val="uk-UA"/>
        </w:rPr>
      </w:pPr>
    </w:p>
    <w:p w:rsidR="00535078" w:rsidRPr="0034650A" w:rsidRDefault="00535078" w:rsidP="00535078">
      <w:pPr>
        <w:jc w:val="center"/>
        <w:rPr>
          <w:rFonts w:ascii="Times New Roman" w:hAnsi="Times New Roman"/>
          <w:sz w:val="28"/>
          <w:szCs w:val="28"/>
          <w:lang w:val="uk-UA"/>
        </w:rPr>
      </w:pPr>
    </w:p>
    <w:p w:rsidR="00535078" w:rsidRPr="0034650A" w:rsidRDefault="00535078" w:rsidP="00535078">
      <w:pPr>
        <w:jc w:val="center"/>
        <w:rPr>
          <w:rFonts w:ascii="Times New Roman" w:hAnsi="Times New Roman"/>
          <w:sz w:val="28"/>
          <w:szCs w:val="28"/>
          <w:lang w:val="uk-UA"/>
        </w:rPr>
      </w:pPr>
      <w:r w:rsidRPr="0034650A">
        <w:rPr>
          <w:rFonts w:ascii="Times New Roman" w:hAnsi="Times New Roman"/>
          <w:sz w:val="28"/>
          <w:szCs w:val="28"/>
          <w:lang w:val="uk-UA"/>
        </w:rPr>
        <w:t>ПРО</w:t>
      </w:r>
      <w:r w:rsidR="001210D4">
        <w:rPr>
          <w:rFonts w:ascii="Times New Roman" w:hAnsi="Times New Roman"/>
          <w:sz w:val="28"/>
          <w:szCs w:val="28"/>
          <w:lang w:val="uk-UA"/>
        </w:rPr>
        <w:t>Є</w:t>
      </w:r>
      <w:r w:rsidRPr="0034650A">
        <w:rPr>
          <w:rFonts w:ascii="Times New Roman" w:hAnsi="Times New Roman"/>
          <w:sz w:val="28"/>
          <w:szCs w:val="28"/>
          <w:lang w:val="uk-UA"/>
        </w:rPr>
        <w:t>КТ РІШЕННЯ МІСЬКОЇ РАДИ</w:t>
      </w:r>
    </w:p>
    <w:p w:rsidR="00535078" w:rsidRPr="0034650A" w:rsidRDefault="00535078" w:rsidP="00535078">
      <w:pPr>
        <w:rPr>
          <w:rFonts w:ascii="Times New Roman" w:hAnsi="Times New Roman"/>
          <w:sz w:val="28"/>
          <w:szCs w:val="28"/>
          <w:lang w:val="uk-UA"/>
        </w:rPr>
      </w:pPr>
    </w:p>
    <w:p w:rsidR="00535078" w:rsidRPr="0034650A" w:rsidRDefault="00535078" w:rsidP="00535078">
      <w:pPr>
        <w:rPr>
          <w:rFonts w:ascii="Times New Roman" w:hAnsi="Times New Roman"/>
          <w:sz w:val="28"/>
          <w:szCs w:val="28"/>
          <w:lang w:val="uk-UA"/>
        </w:rPr>
      </w:pPr>
    </w:p>
    <w:p w:rsidR="00535078" w:rsidRPr="0034650A" w:rsidRDefault="00535078" w:rsidP="00535078">
      <w:pPr>
        <w:rPr>
          <w:rFonts w:ascii="Times New Roman" w:hAnsi="Times New Roman"/>
          <w:sz w:val="28"/>
          <w:szCs w:val="28"/>
          <w:lang w:val="uk-UA"/>
        </w:rPr>
      </w:pPr>
    </w:p>
    <w:p w:rsidR="00977853" w:rsidRPr="00977853" w:rsidRDefault="00977853" w:rsidP="00977853">
      <w:pPr>
        <w:rPr>
          <w:rFonts w:ascii="Times New Roman" w:hAnsi="Times New Roman"/>
          <w:b/>
          <w:sz w:val="28"/>
          <w:szCs w:val="28"/>
          <w:lang w:val="uk-UA"/>
        </w:rPr>
      </w:pPr>
      <w:r w:rsidRPr="00977853">
        <w:rPr>
          <w:rFonts w:ascii="Times New Roman" w:hAnsi="Times New Roman"/>
          <w:b/>
          <w:sz w:val="28"/>
          <w:szCs w:val="28"/>
          <w:lang w:val="uk-UA"/>
        </w:rPr>
        <w:t>Про затвердження «Програм</w:t>
      </w:r>
      <w:r w:rsidR="00362C53">
        <w:rPr>
          <w:rFonts w:ascii="Times New Roman" w:hAnsi="Times New Roman"/>
          <w:b/>
          <w:sz w:val="28"/>
          <w:szCs w:val="28"/>
          <w:lang w:val="uk-UA"/>
        </w:rPr>
        <w:t>и</w:t>
      </w:r>
    </w:p>
    <w:p w:rsidR="00977853" w:rsidRPr="00977853" w:rsidRDefault="00977853" w:rsidP="00977853">
      <w:pPr>
        <w:rPr>
          <w:rFonts w:ascii="Times New Roman" w:hAnsi="Times New Roman"/>
          <w:b/>
          <w:sz w:val="28"/>
          <w:szCs w:val="28"/>
          <w:lang w:val="uk-UA"/>
        </w:rPr>
      </w:pPr>
      <w:r w:rsidRPr="00977853">
        <w:rPr>
          <w:rFonts w:ascii="Times New Roman" w:hAnsi="Times New Roman"/>
          <w:b/>
          <w:sz w:val="28"/>
          <w:szCs w:val="28"/>
          <w:lang w:val="uk-UA"/>
        </w:rPr>
        <w:t xml:space="preserve">розвитку туризму Вінницької </w:t>
      </w:r>
    </w:p>
    <w:p w:rsidR="00535078" w:rsidRPr="009C4103" w:rsidRDefault="00977853" w:rsidP="00977853">
      <w:pPr>
        <w:rPr>
          <w:rFonts w:ascii="Times New Roman" w:hAnsi="Times New Roman"/>
          <w:b/>
          <w:sz w:val="28"/>
          <w:szCs w:val="28"/>
          <w:lang w:val="uk-UA"/>
        </w:rPr>
      </w:pPr>
      <w:r w:rsidRPr="00977853">
        <w:rPr>
          <w:rFonts w:ascii="Times New Roman" w:hAnsi="Times New Roman"/>
          <w:b/>
          <w:sz w:val="28"/>
          <w:szCs w:val="28"/>
          <w:lang w:val="uk-UA"/>
        </w:rPr>
        <w:t>міської ОТГ на 2021-2023 роки»</w:t>
      </w:r>
    </w:p>
    <w:p w:rsidR="00535078" w:rsidRPr="009C4103" w:rsidRDefault="00535078" w:rsidP="00535078">
      <w:pPr>
        <w:rPr>
          <w:rFonts w:ascii="Times New Roman" w:hAnsi="Times New Roman"/>
          <w:b/>
          <w:bCs/>
          <w:sz w:val="28"/>
          <w:szCs w:val="28"/>
          <w:lang w:val="uk-UA"/>
        </w:rPr>
      </w:pPr>
    </w:p>
    <w:p w:rsidR="00535078" w:rsidRPr="009C4103" w:rsidRDefault="00535078" w:rsidP="00535078">
      <w:pPr>
        <w:rPr>
          <w:rFonts w:ascii="Times New Roman" w:hAnsi="Times New Roman"/>
          <w:b/>
          <w:bCs/>
          <w:sz w:val="28"/>
          <w:szCs w:val="28"/>
          <w:lang w:val="uk-UA"/>
        </w:rPr>
      </w:pPr>
    </w:p>
    <w:p w:rsidR="00535078" w:rsidRPr="00671053" w:rsidRDefault="00535078" w:rsidP="00F45310">
      <w:pPr>
        <w:ind w:firstLine="708"/>
        <w:jc w:val="both"/>
        <w:rPr>
          <w:rFonts w:ascii="Times New Roman" w:hAnsi="Times New Roman"/>
          <w:sz w:val="28"/>
          <w:szCs w:val="28"/>
          <w:lang w:val="uk-UA"/>
        </w:rPr>
      </w:pPr>
      <w:r w:rsidRPr="009C4103">
        <w:rPr>
          <w:rFonts w:ascii="Times New Roman" w:hAnsi="Times New Roman"/>
          <w:sz w:val="28"/>
          <w:szCs w:val="28"/>
          <w:lang w:val="uk-UA"/>
        </w:rPr>
        <w:t xml:space="preserve">З метою формування позитивного </w:t>
      </w:r>
      <w:r w:rsidRPr="00671053">
        <w:rPr>
          <w:rFonts w:ascii="Times New Roman" w:hAnsi="Times New Roman"/>
          <w:sz w:val="28"/>
          <w:szCs w:val="28"/>
          <w:lang w:val="uk-UA"/>
        </w:rPr>
        <w:t xml:space="preserve">іміджу </w:t>
      </w:r>
      <w:r w:rsidR="003F5AA6" w:rsidRPr="00671053">
        <w:rPr>
          <w:rFonts w:ascii="Times New Roman" w:eastAsia="Calibri" w:hAnsi="Times New Roman" w:cs="Times New Roman"/>
          <w:sz w:val="28"/>
          <w:szCs w:val="28"/>
          <w:lang w:val="uk-UA"/>
        </w:rPr>
        <w:t>та</w:t>
      </w:r>
      <w:r w:rsidR="00977853" w:rsidRPr="00671053">
        <w:rPr>
          <w:rFonts w:ascii="Times New Roman" w:hAnsi="Times New Roman"/>
          <w:sz w:val="28"/>
          <w:szCs w:val="28"/>
          <w:lang w:val="uk-UA"/>
        </w:rPr>
        <w:t xml:space="preserve"> конкурентоспроможного туристичного продукту Вінницької міської ОТГ, збільшення туристичних потоків, </w:t>
      </w:r>
      <w:r w:rsidRPr="00671053">
        <w:rPr>
          <w:rFonts w:ascii="Times New Roman" w:hAnsi="Times New Roman"/>
          <w:sz w:val="28"/>
          <w:szCs w:val="28"/>
          <w:lang w:val="uk-UA"/>
        </w:rPr>
        <w:t xml:space="preserve">керуючись пунктом 22 частини 1 статті 26 та частиною 1 статті 59 Закону України «Про місцеве самоврядування в Україні», міська рада </w:t>
      </w:r>
    </w:p>
    <w:p w:rsidR="00535078" w:rsidRPr="00671053" w:rsidRDefault="00535078" w:rsidP="00535078">
      <w:pPr>
        <w:rPr>
          <w:rFonts w:ascii="Times New Roman" w:hAnsi="Times New Roman"/>
          <w:b/>
          <w:sz w:val="28"/>
          <w:szCs w:val="28"/>
          <w:lang w:val="uk-UA"/>
        </w:rPr>
      </w:pPr>
    </w:p>
    <w:p w:rsidR="00535078" w:rsidRPr="00671053" w:rsidRDefault="00535078" w:rsidP="00535078">
      <w:pPr>
        <w:rPr>
          <w:rFonts w:ascii="Times New Roman" w:hAnsi="Times New Roman"/>
          <w:b/>
          <w:sz w:val="28"/>
          <w:szCs w:val="28"/>
          <w:lang w:val="ru-RU"/>
        </w:rPr>
      </w:pPr>
    </w:p>
    <w:p w:rsidR="00535078" w:rsidRPr="00671053" w:rsidRDefault="00535078" w:rsidP="00535078">
      <w:pPr>
        <w:jc w:val="center"/>
        <w:rPr>
          <w:rFonts w:ascii="Times New Roman" w:hAnsi="Times New Roman"/>
          <w:b/>
          <w:bCs/>
          <w:sz w:val="28"/>
          <w:szCs w:val="28"/>
          <w:lang w:val="uk-UA"/>
        </w:rPr>
      </w:pPr>
      <w:r w:rsidRPr="00671053">
        <w:rPr>
          <w:rFonts w:ascii="Times New Roman" w:hAnsi="Times New Roman"/>
          <w:b/>
          <w:bCs/>
          <w:sz w:val="28"/>
          <w:szCs w:val="28"/>
          <w:lang w:val="uk-UA"/>
        </w:rPr>
        <w:t>ВИРІШИЛА:</w:t>
      </w:r>
    </w:p>
    <w:p w:rsidR="00535078" w:rsidRPr="00671053" w:rsidRDefault="00535078" w:rsidP="00535078">
      <w:pPr>
        <w:jc w:val="center"/>
        <w:rPr>
          <w:rFonts w:ascii="Times New Roman" w:hAnsi="Times New Roman"/>
          <w:b/>
          <w:bCs/>
          <w:sz w:val="28"/>
          <w:szCs w:val="28"/>
          <w:lang w:val="uk-UA"/>
        </w:rPr>
      </w:pPr>
    </w:p>
    <w:p w:rsidR="001C03F4" w:rsidRPr="00671053" w:rsidRDefault="001C03F4" w:rsidP="0040412D">
      <w:pPr>
        <w:pStyle w:val="a5"/>
        <w:widowControl/>
        <w:numPr>
          <w:ilvl w:val="0"/>
          <w:numId w:val="2"/>
        </w:numPr>
        <w:spacing w:after="120"/>
        <w:ind w:left="425" w:hanging="357"/>
        <w:contextualSpacing/>
        <w:jc w:val="both"/>
        <w:rPr>
          <w:rFonts w:ascii="Times New Roman" w:hAnsi="Times New Roman"/>
          <w:sz w:val="28"/>
          <w:szCs w:val="28"/>
          <w:lang w:val="uk-UA"/>
        </w:rPr>
      </w:pPr>
      <w:r w:rsidRPr="00671053">
        <w:rPr>
          <w:rFonts w:ascii="Times New Roman" w:hAnsi="Times New Roman"/>
          <w:sz w:val="28"/>
          <w:szCs w:val="28"/>
          <w:lang w:val="uk-UA"/>
        </w:rPr>
        <w:t xml:space="preserve">Затвердити </w:t>
      </w:r>
      <w:r w:rsidR="00977853" w:rsidRPr="00671053">
        <w:rPr>
          <w:rFonts w:ascii="Times New Roman" w:hAnsi="Times New Roman"/>
          <w:sz w:val="28"/>
          <w:szCs w:val="28"/>
          <w:lang w:val="uk-UA"/>
        </w:rPr>
        <w:t>«Програм</w:t>
      </w:r>
      <w:r w:rsidR="00362C53" w:rsidRPr="00671053">
        <w:rPr>
          <w:rFonts w:ascii="Times New Roman" w:hAnsi="Times New Roman"/>
          <w:sz w:val="28"/>
          <w:szCs w:val="28"/>
          <w:lang w:val="uk-UA"/>
        </w:rPr>
        <w:t>у</w:t>
      </w:r>
      <w:r w:rsidR="00977853" w:rsidRPr="00671053">
        <w:rPr>
          <w:rFonts w:ascii="Times New Roman" w:hAnsi="Times New Roman"/>
          <w:sz w:val="28"/>
          <w:szCs w:val="28"/>
          <w:lang w:val="uk-UA"/>
        </w:rPr>
        <w:t xml:space="preserve"> розвитку туризму Вінницької міської ОТГ на 2021-2023 роки»</w:t>
      </w:r>
      <w:r w:rsidRPr="00671053">
        <w:rPr>
          <w:rFonts w:ascii="Times New Roman" w:eastAsia="Calibri" w:hAnsi="Times New Roman" w:cs="Times New Roman"/>
          <w:sz w:val="28"/>
          <w:szCs w:val="28"/>
          <w:lang w:val="uk-UA"/>
        </w:rPr>
        <w:t xml:space="preserve"> </w:t>
      </w:r>
      <w:r w:rsidRPr="00671053">
        <w:rPr>
          <w:rFonts w:ascii="Times New Roman" w:hAnsi="Times New Roman"/>
          <w:sz w:val="28"/>
          <w:szCs w:val="28"/>
          <w:lang w:val="uk-UA"/>
        </w:rPr>
        <w:t xml:space="preserve">згідно з додатком до цього рішення. </w:t>
      </w:r>
    </w:p>
    <w:p w:rsidR="00977853" w:rsidRPr="00977853" w:rsidRDefault="00977853" w:rsidP="00362C53">
      <w:pPr>
        <w:spacing w:after="120"/>
        <w:ind w:left="425" w:hanging="357"/>
        <w:contextualSpacing/>
        <w:jc w:val="both"/>
        <w:rPr>
          <w:rFonts w:ascii="Times New Roman" w:eastAsia="Calibri" w:hAnsi="Times New Roman" w:cs="Times New Roman"/>
          <w:sz w:val="28"/>
          <w:szCs w:val="28"/>
          <w:lang w:val="uk-UA"/>
        </w:rPr>
      </w:pPr>
      <w:r w:rsidRPr="00671053">
        <w:rPr>
          <w:rFonts w:ascii="Times New Roman" w:eastAsia="Calibri" w:hAnsi="Times New Roman" w:cs="Times New Roman"/>
          <w:sz w:val="28"/>
          <w:szCs w:val="28"/>
          <w:lang w:val="uk-UA"/>
        </w:rPr>
        <w:t xml:space="preserve">3. </w:t>
      </w:r>
      <w:r w:rsidR="009C0FE9" w:rsidRPr="00671053">
        <w:rPr>
          <w:rFonts w:ascii="Times New Roman" w:eastAsia="Calibri" w:hAnsi="Times New Roman" w:cs="Times New Roman"/>
          <w:sz w:val="28"/>
          <w:szCs w:val="28"/>
          <w:lang w:val="uk-UA"/>
        </w:rPr>
        <w:t xml:space="preserve">Департаменту маркетингу міста та туризму </w:t>
      </w:r>
      <w:r w:rsidRPr="00671053">
        <w:rPr>
          <w:rFonts w:ascii="Times New Roman" w:eastAsia="Calibri" w:hAnsi="Times New Roman" w:cs="Times New Roman"/>
          <w:sz w:val="28"/>
          <w:szCs w:val="28"/>
          <w:lang w:val="uk-UA"/>
        </w:rPr>
        <w:t>міської ради, виконавчим органам міської ради</w:t>
      </w:r>
      <w:r w:rsidR="009C0FE9" w:rsidRPr="00671053">
        <w:rPr>
          <w:rFonts w:ascii="Times New Roman" w:eastAsia="Calibri" w:hAnsi="Times New Roman" w:cs="Times New Roman"/>
          <w:sz w:val="28"/>
          <w:szCs w:val="28"/>
          <w:lang w:val="uk-UA"/>
        </w:rPr>
        <w:t xml:space="preserve">, які є виконавцями заходів програми, </w:t>
      </w:r>
      <w:r w:rsidRPr="00671053">
        <w:rPr>
          <w:rFonts w:ascii="Times New Roman" w:eastAsia="Calibri" w:hAnsi="Times New Roman" w:cs="Times New Roman"/>
          <w:sz w:val="28"/>
          <w:szCs w:val="28"/>
          <w:lang w:val="uk-UA"/>
        </w:rPr>
        <w:t xml:space="preserve">щорічно при формуванні проекту бюджету </w:t>
      </w:r>
      <w:r w:rsidR="00EF26FC" w:rsidRPr="00671053">
        <w:rPr>
          <w:rFonts w:ascii="Times New Roman" w:eastAsia="Calibri" w:hAnsi="Times New Roman" w:cs="Times New Roman"/>
          <w:sz w:val="28"/>
          <w:szCs w:val="28"/>
          <w:lang w:val="uk-UA"/>
        </w:rPr>
        <w:t>Вінницької міської об</w:t>
      </w:r>
      <w:r w:rsidR="003F5AA6" w:rsidRPr="00671053">
        <w:rPr>
          <w:rFonts w:ascii="Times New Roman" w:eastAsia="Calibri" w:hAnsi="Times New Roman" w:cs="Times New Roman"/>
          <w:sz w:val="28"/>
          <w:szCs w:val="28"/>
          <w:lang w:val="uk-UA"/>
        </w:rPr>
        <w:t>’</w:t>
      </w:r>
      <w:r w:rsidR="00EF26FC" w:rsidRPr="00671053">
        <w:rPr>
          <w:rFonts w:ascii="Times New Roman" w:eastAsia="Calibri" w:hAnsi="Times New Roman" w:cs="Times New Roman"/>
          <w:sz w:val="28"/>
          <w:szCs w:val="28"/>
          <w:lang w:val="uk-UA"/>
        </w:rPr>
        <w:t>єднаної територіальної громади на відповідний рік</w:t>
      </w:r>
      <w:r w:rsidR="00D05AB9" w:rsidRPr="00671053">
        <w:rPr>
          <w:rFonts w:ascii="Times New Roman" w:eastAsia="Calibri" w:hAnsi="Times New Roman" w:cs="Times New Roman"/>
          <w:sz w:val="28"/>
          <w:szCs w:val="28"/>
          <w:lang w:val="uk-UA"/>
        </w:rPr>
        <w:t xml:space="preserve"> </w:t>
      </w:r>
      <w:r w:rsidRPr="00671053">
        <w:rPr>
          <w:rFonts w:ascii="Times New Roman" w:eastAsia="Calibri" w:hAnsi="Times New Roman" w:cs="Times New Roman"/>
          <w:sz w:val="28"/>
          <w:szCs w:val="28"/>
          <w:lang w:val="uk-UA"/>
        </w:rPr>
        <w:t xml:space="preserve">передбачати кошти на реалізацію заходів </w:t>
      </w:r>
      <w:r>
        <w:rPr>
          <w:rFonts w:ascii="Times New Roman" w:eastAsia="Calibri" w:hAnsi="Times New Roman" w:cs="Times New Roman"/>
          <w:sz w:val="28"/>
          <w:szCs w:val="28"/>
          <w:lang w:val="uk-UA"/>
        </w:rPr>
        <w:t xml:space="preserve">Програми </w:t>
      </w:r>
      <w:r w:rsidRPr="00977853">
        <w:rPr>
          <w:rFonts w:ascii="Times New Roman" w:eastAsia="Calibri" w:hAnsi="Times New Roman" w:cs="Times New Roman"/>
          <w:sz w:val="28"/>
          <w:szCs w:val="28"/>
          <w:lang w:val="uk-UA"/>
        </w:rPr>
        <w:t>розвитку туризму Вінницької міської ОТГ на 2021-2023 роки, в межах реальних можливостей бюджету.</w:t>
      </w:r>
    </w:p>
    <w:p w:rsidR="00535078" w:rsidRPr="001C03F4" w:rsidRDefault="00977853" w:rsidP="0040412D">
      <w:pPr>
        <w:pStyle w:val="a5"/>
        <w:widowControl/>
        <w:numPr>
          <w:ilvl w:val="0"/>
          <w:numId w:val="2"/>
        </w:numPr>
        <w:spacing w:after="120"/>
        <w:ind w:left="425" w:hanging="357"/>
        <w:contextualSpacing/>
        <w:jc w:val="both"/>
        <w:rPr>
          <w:rFonts w:ascii="Times New Roman" w:hAnsi="Times New Roman"/>
          <w:sz w:val="28"/>
          <w:szCs w:val="28"/>
          <w:lang w:val="uk-UA"/>
        </w:rPr>
      </w:pPr>
      <w:r w:rsidRPr="00977853">
        <w:rPr>
          <w:rFonts w:ascii="Times New Roman" w:hAnsi="Times New Roman"/>
          <w:sz w:val="28"/>
          <w:szCs w:val="28"/>
          <w:lang w:val="uk-UA"/>
        </w:rPr>
        <w:t xml:space="preserve">Контроль за виконанням цього рішення покласти на постійні комісії міської ради з питань планування, фінансів, бюджету та соціально-економічного розвитку (В.Кривіцький) та з </w:t>
      </w:r>
      <w:r w:rsidR="009B56D6">
        <w:rPr>
          <w:rFonts w:ascii="Times New Roman" w:hAnsi="Times New Roman"/>
          <w:sz w:val="28"/>
          <w:szCs w:val="28"/>
          <w:lang w:val="uk-UA"/>
        </w:rPr>
        <w:t xml:space="preserve">питань </w:t>
      </w:r>
      <w:r w:rsidRPr="00977853">
        <w:rPr>
          <w:rFonts w:ascii="Times New Roman" w:hAnsi="Times New Roman"/>
          <w:sz w:val="28"/>
          <w:szCs w:val="28"/>
          <w:lang w:val="uk-UA"/>
        </w:rPr>
        <w:t xml:space="preserve">освіти, культури, молоді, фізкультури </w:t>
      </w:r>
      <w:r w:rsidR="009B56D6">
        <w:rPr>
          <w:rFonts w:ascii="Times New Roman" w:hAnsi="Times New Roman"/>
          <w:sz w:val="28"/>
          <w:szCs w:val="28"/>
          <w:lang w:val="uk-UA"/>
        </w:rPr>
        <w:t xml:space="preserve">і </w:t>
      </w:r>
      <w:r w:rsidRPr="00977853">
        <w:rPr>
          <w:rFonts w:ascii="Times New Roman" w:hAnsi="Times New Roman"/>
          <w:sz w:val="28"/>
          <w:szCs w:val="28"/>
          <w:lang w:val="uk-UA"/>
        </w:rPr>
        <w:t>спорту  (О.Алекса)</w:t>
      </w:r>
      <w:r w:rsidR="00535078" w:rsidRPr="001C03F4">
        <w:rPr>
          <w:rFonts w:ascii="Times New Roman" w:hAnsi="Times New Roman"/>
          <w:sz w:val="28"/>
          <w:szCs w:val="28"/>
          <w:lang w:val="uk-UA"/>
        </w:rPr>
        <w:t>.</w:t>
      </w:r>
    </w:p>
    <w:p w:rsidR="0034650A" w:rsidRDefault="0034650A">
      <w:pPr>
        <w:pStyle w:val="a3"/>
        <w:spacing w:before="42"/>
        <w:ind w:left="5694" w:firstLine="0"/>
        <w:rPr>
          <w:spacing w:val="-1"/>
          <w:lang w:val="uk-UA"/>
        </w:rPr>
      </w:pPr>
    </w:p>
    <w:p w:rsidR="001A484E" w:rsidRDefault="001A484E" w:rsidP="001A484E">
      <w:pPr>
        <w:pStyle w:val="a3"/>
        <w:spacing w:before="42"/>
        <w:ind w:left="0" w:firstLine="0"/>
        <w:rPr>
          <w:spacing w:val="-1"/>
          <w:lang w:val="uk-UA"/>
        </w:rPr>
      </w:pPr>
    </w:p>
    <w:p w:rsidR="001A484E" w:rsidRDefault="001A484E">
      <w:pPr>
        <w:rPr>
          <w:rFonts w:ascii="Times New Roman" w:eastAsia="Times New Roman" w:hAnsi="Times New Roman"/>
          <w:spacing w:val="-1"/>
          <w:sz w:val="28"/>
          <w:szCs w:val="28"/>
          <w:lang w:val="uk-UA"/>
        </w:rPr>
      </w:pPr>
      <w:r>
        <w:rPr>
          <w:spacing w:val="-1"/>
          <w:lang w:val="uk-UA"/>
        </w:rPr>
        <w:br w:type="page"/>
      </w:r>
    </w:p>
    <w:p w:rsidR="001A484E" w:rsidRPr="009C4103" w:rsidRDefault="001A484E" w:rsidP="001A484E">
      <w:pPr>
        <w:pStyle w:val="a3"/>
        <w:spacing w:before="42"/>
        <w:ind w:left="5812" w:firstLine="0"/>
        <w:rPr>
          <w:lang w:val="uk-UA"/>
        </w:rPr>
      </w:pPr>
      <w:r w:rsidRPr="009C4103">
        <w:rPr>
          <w:spacing w:val="-1"/>
          <w:lang w:val="uk-UA"/>
        </w:rPr>
        <w:lastRenderedPageBreak/>
        <w:t>Додаток</w:t>
      </w:r>
    </w:p>
    <w:p w:rsidR="001A484E" w:rsidRDefault="001A484E" w:rsidP="001A484E">
      <w:pPr>
        <w:pStyle w:val="a3"/>
        <w:spacing w:before="2"/>
        <w:ind w:left="5812" w:firstLine="0"/>
        <w:rPr>
          <w:spacing w:val="26"/>
          <w:lang w:val="uk-UA"/>
        </w:rPr>
      </w:pPr>
      <w:r w:rsidRPr="009C4103">
        <w:rPr>
          <w:lang w:val="uk-UA"/>
        </w:rPr>
        <w:t>до</w:t>
      </w:r>
      <w:r w:rsidRPr="009C4103">
        <w:rPr>
          <w:spacing w:val="-3"/>
          <w:lang w:val="uk-UA"/>
        </w:rPr>
        <w:t xml:space="preserve"> </w:t>
      </w:r>
      <w:r w:rsidRPr="009C4103">
        <w:rPr>
          <w:spacing w:val="-1"/>
          <w:lang w:val="uk-UA"/>
        </w:rPr>
        <w:t>рішення</w:t>
      </w:r>
      <w:r w:rsidRPr="009C4103">
        <w:rPr>
          <w:lang w:val="uk-UA"/>
        </w:rPr>
        <w:t xml:space="preserve"> </w:t>
      </w:r>
      <w:r w:rsidRPr="009C4103">
        <w:rPr>
          <w:spacing w:val="-1"/>
          <w:lang w:val="uk-UA"/>
        </w:rPr>
        <w:t>міської</w:t>
      </w:r>
      <w:r w:rsidRPr="009C4103">
        <w:rPr>
          <w:spacing w:val="-3"/>
          <w:lang w:val="uk-UA"/>
        </w:rPr>
        <w:t xml:space="preserve"> </w:t>
      </w:r>
      <w:r w:rsidRPr="009C4103">
        <w:rPr>
          <w:spacing w:val="-1"/>
          <w:lang w:val="uk-UA"/>
        </w:rPr>
        <w:t>ради</w:t>
      </w:r>
      <w:r w:rsidRPr="009C4103">
        <w:rPr>
          <w:spacing w:val="26"/>
          <w:lang w:val="uk-UA"/>
        </w:rPr>
        <w:t xml:space="preserve"> </w:t>
      </w:r>
    </w:p>
    <w:p w:rsidR="001A484E" w:rsidRDefault="001A484E" w:rsidP="001A484E">
      <w:pPr>
        <w:pStyle w:val="a3"/>
        <w:spacing w:before="42"/>
        <w:ind w:left="5812" w:firstLine="0"/>
        <w:rPr>
          <w:spacing w:val="-1"/>
          <w:lang w:val="uk-UA"/>
        </w:rPr>
      </w:pPr>
      <w:r w:rsidRPr="009C4103">
        <w:rPr>
          <w:lang w:val="uk-UA"/>
        </w:rPr>
        <w:t>від</w:t>
      </w:r>
      <w:r w:rsidRPr="009C4103">
        <w:rPr>
          <w:spacing w:val="-2"/>
          <w:lang w:val="uk-UA"/>
        </w:rPr>
        <w:t xml:space="preserve"> ___________</w:t>
      </w:r>
      <w:r w:rsidRPr="009C4103">
        <w:rPr>
          <w:spacing w:val="1"/>
          <w:lang w:val="ru-RU"/>
        </w:rPr>
        <w:t xml:space="preserve"> </w:t>
      </w:r>
      <w:r w:rsidRPr="009C4103">
        <w:rPr>
          <w:lang w:val="ru-RU"/>
        </w:rPr>
        <w:t>№</w:t>
      </w:r>
      <w:r w:rsidRPr="009C4103">
        <w:rPr>
          <w:spacing w:val="-3"/>
          <w:lang w:val="ru-RU"/>
        </w:rPr>
        <w:t xml:space="preserve"> ____</w:t>
      </w:r>
    </w:p>
    <w:p w:rsidR="001A484E" w:rsidRDefault="001A484E" w:rsidP="001A484E">
      <w:pPr>
        <w:pStyle w:val="a3"/>
        <w:spacing w:before="42"/>
        <w:ind w:left="0" w:firstLine="0"/>
        <w:rPr>
          <w:spacing w:val="-1"/>
          <w:lang w:val="uk-UA"/>
        </w:rPr>
      </w:pPr>
    </w:p>
    <w:p w:rsidR="001F1B12" w:rsidRPr="001F1B12" w:rsidRDefault="001F1B12" w:rsidP="001F1B12">
      <w:pPr>
        <w:spacing w:before="240" w:after="240"/>
        <w:jc w:val="center"/>
        <w:rPr>
          <w:rFonts w:ascii="Times New Roman" w:eastAsia="Times New Roman" w:hAnsi="Times New Roman" w:cs="Times New Roman"/>
          <w:b/>
          <w:sz w:val="28"/>
          <w:szCs w:val="28"/>
          <w:lang w:val="ru-RU"/>
        </w:rPr>
      </w:pPr>
      <w:r w:rsidRPr="001F1B12">
        <w:rPr>
          <w:rFonts w:ascii="Times New Roman" w:eastAsia="Times New Roman" w:hAnsi="Times New Roman" w:cs="Times New Roman"/>
          <w:b/>
          <w:sz w:val="28"/>
          <w:szCs w:val="28"/>
          <w:lang w:val="ru-RU"/>
        </w:rPr>
        <w:t>Програма розвитку туризму Вінницької міської ОТГ на 2021-2023 роки</w:t>
      </w:r>
    </w:p>
    <w:p w:rsidR="00AB3EB7" w:rsidRPr="00AB3EB7" w:rsidRDefault="00AB3EB7" w:rsidP="0040412D">
      <w:pPr>
        <w:pStyle w:val="a5"/>
        <w:widowControl/>
        <w:numPr>
          <w:ilvl w:val="1"/>
          <w:numId w:val="10"/>
        </w:numPr>
        <w:ind w:left="0" w:firstLine="0"/>
        <w:jc w:val="center"/>
        <w:rPr>
          <w:rFonts w:ascii="Times New Roman" w:eastAsia="Times New Roman" w:hAnsi="Times New Roman" w:cs="Times New Roman"/>
          <w:b/>
          <w:bCs/>
          <w:color w:val="000000"/>
          <w:sz w:val="28"/>
          <w:szCs w:val="28"/>
          <w:lang w:val="uk-UA" w:eastAsia="uk-UA"/>
        </w:rPr>
      </w:pPr>
      <w:r w:rsidRPr="00AB3EB7">
        <w:rPr>
          <w:rFonts w:ascii="Times New Roman" w:eastAsia="Times New Roman" w:hAnsi="Times New Roman" w:cs="Times New Roman"/>
          <w:b/>
          <w:bCs/>
          <w:color w:val="000000"/>
          <w:sz w:val="28"/>
          <w:szCs w:val="28"/>
          <w:lang w:val="uk-UA" w:eastAsia="uk-UA"/>
        </w:rPr>
        <w:t>Паспорт цільової програми</w:t>
      </w:r>
    </w:p>
    <w:p w:rsidR="00AB3EB7" w:rsidRPr="00AB3EB7" w:rsidRDefault="00AB3EB7" w:rsidP="00AB3EB7">
      <w:pPr>
        <w:widowControl/>
        <w:rPr>
          <w:rFonts w:ascii="Times New Roman" w:eastAsia="Times New Roman" w:hAnsi="Times New Roman" w:cs="Times New Roman"/>
          <w:sz w:val="28"/>
          <w:szCs w:val="28"/>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80"/>
        <w:gridCol w:w="3349"/>
        <w:gridCol w:w="5932"/>
      </w:tblGrid>
      <w:tr w:rsidR="00AB3EB7" w:rsidRPr="00AB3EB7" w:rsidTr="00AB3EB7">
        <w:trPr>
          <w:trHeight w:val="6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Дата, номер і назва розпорядчого документу про розроблення програми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w:t>
            </w:r>
            <w:r w:rsidRPr="00AB3EB7">
              <w:rPr>
                <w:rFonts w:ascii="Times New Roman" w:eastAsia="Times New Roman" w:hAnsi="Times New Roman" w:cs="Times New Roman"/>
                <w:i/>
                <w:iCs/>
                <w:sz w:val="28"/>
                <w:szCs w:val="28"/>
                <w:lang w:val="uk-UA" w:eastAsia="uk-UA"/>
              </w:rPr>
              <w:t>НАКАЗ ДИРЕКТОРА ДЕПАРТАМЕНТУ?</w:t>
            </w:r>
          </w:p>
        </w:tc>
      </w:tr>
      <w:tr w:rsidR="00AB3EB7" w:rsidRPr="00AB3EB7" w:rsidTr="00AB3EB7">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Розробник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Департамент маркетингу міста та туризму</w:t>
            </w:r>
          </w:p>
        </w:tc>
      </w:tr>
      <w:tr w:rsidR="00AB3EB7" w:rsidRPr="00AB3EB7" w:rsidTr="00AB3EB7">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Співрозробники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Департамент економіки і інвестицій,</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КП «Інститут розвитку міст»</w:t>
            </w:r>
          </w:p>
        </w:tc>
      </w:tr>
      <w:tr w:rsidR="00AB3EB7" w:rsidRPr="00AB3EB7" w:rsidTr="00AB3EB7">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Відповідальний виконавець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Департамент маркетингу міста та туризму</w:t>
            </w:r>
          </w:p>
        </w:tc>
      </w:tr>
      <w:tr w:rsidR="00AB3EB7" w:rsidRPr="00AB3EB7" w:rsidTr="00AB3EB7">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Цільові групи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Туристи, мешканці територіальної громади,, малий і середній бізнес, інвестори</w:t>
            </w:r>
          </w:p>
        </w:tc>
      </w:tr>
      <w:tr w:rsidR="00AB3EB7" w:rsidRPr="00AB3EB7" w:rsidTr="00AB3EB7">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Терміни реалізації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2021-2023 рр.</w:t>
            </w:r>
          </w:p>
        </w:tc>
      </w:tr>
      <w:tr w:rsidR="00AB3EB7" w:rsidRPr="00AB3EB7" w:rsidTr="00AB3EB7">
        <w:trPr>
          <w:trHeight w:val="21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Мета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Формування конкурентоспроможного туристичного продукту Вінницької міської ОТГ, збільшення туристичних потоків, а також перетворення галузі туризму в стабільне і вагоме джерело надходжень бюджету Вінницької міської об'єднаної територіальної громади шляхом залучення інвестицій та збільшення кількості зайнятих у галузі</w:t>
            </w:r>
          </w:p>
        </w:tc>
      </w:tr>
      <w:tr w:rsidR="00AB3EB7" w:rsidRPr="00AB3EB7" w:rsidTr="00AB3EB7">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Зв’язок з Концепцією інтегрованого розвитку м. Вінниці 2030 та назва стратегічного проекту(ів), якщо такі 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V1P6 - Розробка концепції збереження та відновлення історичного центру м. Вінниці для розвитку культури, туризму і підприємництва. </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V2P15 – Формування впізнаваного бренду міста шляхом впровадження заходів Маркетингової стратегії, мультиплікація бренду міста через локальний бізнес.</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lastRenderedPageBreak/>
              <w:t>V2P16 – Розробка та реалізація Туристичної стратегії як основи майбутнього швидкого зростання туристичної галузі міста.</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V2P22 – Розширення міжнародної економічної співпраці: перегляд та актуалізація чинних угод про побратимство, пошук і залучення нових міжнародних партнерів.</w:t>
            </w:r>
          </w:p>
        </w:tc>
      </w:tr>
      <w:tr w:rsidR="00AB3EB7" w:rsidRPr="00AB3EB7" w:rsidTr="00AB3EB7">
        <w:trPr>
          <w:trHeight w:val="10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lastRenderedPageBreak/>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Загальний обсяг фінансових ресурсів, необхідних для реалізації програми протягом усього терміну виконання, всього,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28 499,0  тис. грн</w:t>
            </w:r>
          </w:p>
        </w:tc>
      </w:tr>
      <w:tr w:rsidR="00AB3EB7" w:rsidRPr="00AB3EB7" w:rsidTr="00AB3EB7">
        <w:trPr>
          <w:trHeight w:val="4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з них: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w:t>
            </w:r>
          </w:p>
        </w:tc>
      </w:tr>
      <w:tr w:rsidR="00AB3EB7" w:rsidRPr="00AB3EB7" w:rsidTr="00AB3EB7">
        <w:trPr>
          <w:trHeight w:val="4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кошти бюджету Вінницької міської об’єднаної територіальної громади,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11 999,0 тис.грн</w:t>
            </w:r>
          </w:p>
        </w:tc>
      </w:tr>
      <w:tr w:rsidR="00AB3EB7" w:rsidRPr="00AB3EB7" w:rsidTr="00AB3EB7">
        <w:trPr>
          <w:trHeight w:val="3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коштів державного бюджету,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w:t>
            </w:r>
          </w:p>
        </w:tc>
      </w:tr>
      <w:tr w:rsidR="00AB3EB7" w:rsidRPr="00AB3EB7" w:rsidTr="00AB3EB7">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інші джерела фінансування (гранти секторальної підтримки, ЄС, УКФ), грн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 xml:space="preserve"> 16 500,0 тис.грн</w:t>
            </w:r>
          </w:p>
        </w:tc>
      </w:tr>
      <w:tr w:rsidR="00AB3EB7" w:rsidRPr="00AB3EB7" w:rsidTr="00AB3EB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Очікувані результати виконання програми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40412D">
            <w:pPr>
              <w:widowControl/>
              <w:numPr>
                <w:ilvl w:val="0"/>
                <w:numId w:val="11"/>
              </w:numPr>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Збільшення кількості туристів та розміру надходжень від галузі до бюджету Вінницької міської об'єднаної територіальної громади й інвестицій у галузь. </w:t>
            </w:r>
          </w:p>
          <w:p w:rsidR="00AB3EB7" w:rsidRPr="00AB3EB7" w:rsidRDefault="00AB3EB7" w:rsidP="0040412D">
            <w:pPr>
              <w:widowControl/>
              <w:numPr>
                <w:ilvl w:val="0"/>
                <w:numId w:val="11"/>
              </w:numPr>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Сформований конкурентоздатний туристичний продукт та системна промоція дестинації.</w:t>
            </w:r>
          </w:p>
          <w:p w:rsidR="00AB3EB7" w:rsidRPr="00AB3EB7" w:rsidRDefault="00AB3EB7" w:rsidP="0040412D">
            <w:pPr>
              <w:widowControl/>
              <w:numPr>
                <w:ilvl w:val="0"/>
                <w:numId w:val="11"/>
              </w:numPr>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sz w:val="28"/>
                <w:szCs w:val="28"/>
                <w:lang w:val="uk-UA" w:eastAsia="uk-UA"/>
              </w:rPr>
              <w:t>Вдосконалена туристична інфраструктура, рівень сервісу, забезпеченість кадрами та координація дій влади, бізнесу та громадських організацій.</w:t>
            </w:r>
          </w:p>
        </w:tc>
      </w:tr>
    </w:tbl>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lastRenderedPageBreak/>
        <w:t>1.2 Визначення проблеми, на розв'язання якої спрямована програма</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i/>
          <w:iCs/>
          <w:color w:val="000000"/>
          <w:sz w:val="28"/>
          <w:szCs w:val="28"/>
          <w:lang w:val="uk-UA" w:eastAsia="uk-UA"/>
        </w:rPr>
        <w:t>1.2.1 Аналіз інформації та статистичних даних</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Туризм упродовж тривалого часу займає значну частку світової економіки та розвивається швидкими темпами. Вплив туризму на економіку, імідж держав та окремих міст у світі важко переоцінити, адже це сприяє налагодженню міжнародних зв’язків, залученню інвестицій, відродженню культурної спадщини, розвитку інфраструктури тощо.</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За підрахунками WTTC (Всесвітньої ради туризму та подорожей) в 2019 році кінцева вартість усіх товарів та послуг сектору подорожей та туризму України збільшилася на 6,1% та становила $8,687 млрд.</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За даними Держстату у 2019 році у Вінницькій області доходи від надання туристичних послуг складали 54,610 млн грн, майже на 23%, більше, ніж минулого року. Тенденції росту туристичних потоків найперше спостерігаються у Вінниці.</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Вінниця є привабливою туристичною дестинацією, адже має зручне економіко-географічне розташування та через важливі залізничні та автомобільні шляхи з’єднує основні регіони країни. Місто знаходиться у помірному кліматі, має високу водозабезпеченість, і, відповідно, природно-ресурсний потенціал та широкі можливості для активного і рекреаційного відпочинку. Вінниця характеризується значним історико-культурним потенціалом, перелік пам’яток архітектури і містобудування нараховує 121 об’єкт, з яких 11 — національного значення.</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Департамент маркетингу міста та туризму Вінницької міської ради, керуючись Концепцією інтегрованого розвитку міста Вінниця 2030, розпочав у 2019 році збір та відслідковування визначених індикаторів, які характеризують стан досягнення цілей Концепції в частині туристичної галузі та маркетингу міста.</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Серед основних індикаторів, відібраних для відстеження цілей та оцінки виконання завдань у межах розвитку туризму, виділено:</w:t>
      </w:r>
    </w:p>
    <w:p w:rsidR="00AB3EB7" w:rsidRPr="00AB3EB7" w:rsidRDefault="00AB3EB7" w:rsidP="0040412D">
      <w:pPr>
        <w:widowControl/>
        <w:numPr>
          <w:ilvl w:val="0"/>
          <w:numId w:val="3"/>
        </w:numPr>
        <w:tabs>
          <w:tab w:val="clear" w:pos="720"/>
        </w:tabs>
        <w:ind w:left="0" w:firstLine="0"/>
        <w:jc w:val="both"/>
        <w:textAlignment w:val="baseline"/>
        <w:rPr>
          <w:rFonts w:ascii="Times New Roman" w:eastAsia="Times New Roman" w:hAnsi="Times New Roman" w:cs="Times New Roman"/>
          <w:color w:val="000000"/>
          <w:sz w:val="28"/>
          <w:szCs w:val="28"/>
          <w:lang w:val="uk-UA" w:eastAsia="uk-UA"/>
        </w:rPr>
      </w:pPr>
      <w:r w:rsidRPr="00AB3EB7">
        <w:rPr>
          <w:rFonts w:ascii="Times New Roman" w:eastAsia="Times New Roman" w:hAnsi="Times New Roman" w:cs="Times New Roman"/>
          <w:color w:val="000000"/>
          <w:sz w:val="28"/>
          <w:szCs w:val="28"/>
          <w:lang w:val="uk-UA" w:eastAsia="uk-UA"/>
        </w:rPr>
        <w:t>Обсяг податкових надходжень від індустрії гостинності і гастрокультури за даними Державної фіскальної служби за 2019 рік складає 34 726 400 грн. Ці надходження були отримані від суб’єктів господарської діяльності, які надають послуги у сфері культури, туризму й організації дозвілля та працюють за основними КВЕД:</w:t>
      </w:r>
    </w:p>
    <w:p w:rsidR="00AB3EB7" w:rsidRPr="00AB3EB7" w:rsidRDefault="00AB3EB7" w:rsidP="0040412D">
      <w:pPr>
        <w:pStyle w:val="a5"/>
        <w:widowControl/>
        <w:numPr>
          <w:ilvl w:val="0"/>
          <w:numId w:val="12"/>
        </w:numPr>
        <w:ind w:left="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Надання транспортних послуг та оренда транспортних засобів – 1 954 800 грн</w:t>
      </w:r>
    </w:p>
    <w:p w:rsidR="00AB3EB7" w:rsidRPr="00AB3EB7" w:rsidRDefault="00AB3EB7" w:rsidP="0040412D">
      <w:pPr>
        <w:pStyle w:val="a5"/>
        <w:widowControl/>
        <w:numPr>
          <w:ilvl w:val="0"/>
          <w:numId w:val="12"/>
        </w:numPr>
        <w:ind w:left="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Тимчасове розміщування – 7 222 700 грн</w:t>
      </w:r>
    </w:p>
    <w:p w:rsidR="00AB3EB7" w:rsidRPr="00AB3EB7" w:rsidRDefault="00AB3EB7" w:rsidP="0040412D">
      <w:pPr>
        <w:pStyle w:val="a5"/>
        <w:widowControl/>
        <w:numPr>
          <w:ilvl w:val="0"/>
          <w:numId w:val="12"/>
        </w:numPr>
        <w:ind w:left="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Забезпечення стравами та напоями – 19 112 800 грн</w:t>
      </w:r>
    </w:p>
    <w:p w:rsidR="00AB3EB7" w:rsidRPr="00AB3EB7" w:rsidRDefault="00AB3EB7" w:rsidP="0040412D">
      <w:pPr>
        <w:pStyle w:val="a5"/>
        <w:widowControl/>
        <w:numPr>
          <w:ilvl w:val="0"/>
          <w:numId w:val="12"/>
        </w:numPr>
        <w:ind w:left="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Діяльність туристичних агентств та операторів – 2 126 800 грн</w:t>
      </w:r>
    </w:p>
    <w:p w:rsidR="00AB3EB7" w:rsidRPr="00AB3EB7" w:rsidRDefault="00AB3EB7" w:rsidP="0040412D">
      <w:pPr>
        <w:pStyle w:val="a5"/>
        <w:widowControl/>
        <w:numPr>
          <w:ilvl w:val="0"/>
          <w:numId w:val="12"/>
        </w:numPr>
        <w:ind w:left="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Функціонування музеїв – 4 219 000 грн</w:t>
      </w:r>
    </w:p>
    <w:p w:rsidR="00AB3EB7" w:rsidRPr="00AB3EB7" w:rsidRDefault="00AB3EB7" w:rsidP="0040412D">
      <w:pPr>
        <w:pStyle w:val="a5"/>
        <w:widowControl/>
        <w:numPr>
          <w:ilvl w:val="0"/>
          <w:numId w:val="12"/>
        </w:numPr>
        <w:ind w:left="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Організація відпочинку та розваг – 90 300 грн</w:t>
      </w:r>
    </w:p>
    <w:p w:rsidR="00AB3EB7" w:rsidRPr="00AB3EB7" w:rsidRDefault="00AB3EB7" w:rsidP="0040412D">
      <w:pPr>
        <w:widowControl/>
        <w:numPr>
          <w:ilvl w:val="0"/>
          <w:numId w:val="4"/>
        </w:numPr>
        <w:jc w:val="both"/>
        <w:textAlignment w:val="baseline"/>
        <w:rPr>
          <w:rFonts w:ascii="Times New Roman" w:eastAsia="Times New Roman" w:hAnsi="Times New Roman" w:cs="Times New Roman"/>
          <w:color w:val="000000"/>
          <w:sz w:val="28"/>
          <w:szCs w:val="28"/>
          <w:lang w:val="uk-UA" w:eastAsia="uk-UA"/>
        </w:rPr>
      </w:pPr>
      <w:r w:rsidRPr="00AB3EB7">
        <w:rPr>
          <w:rFonts w:ascii="Times New Roman" w:eastAsia="Times New Roman" w:hAnsi="Times New Roman" w:cs="Times New Roman"/>
          <w:color w:val="000000"/>
          <w:sz w:val="28"/>
          <w:szCs w:val="28"/>
          <w:lang w:val="uk-UA" w:eastAsia="uk-UA"/>
        </w:rPr>
        <w:t>Кількість закладів готельно-ресторанного бізнесу у межах міста станом на кінець 2019 року орієнтовно складала 365 закладів, із них 38 готелів, 5 гостелів, 322 – закладів громадського харчування. Із початком карантинних обмежень у 2020 році близько 6% закладів громадського харчування припинили діяльність.</w:t>
      </w:r>
    </w:p>
    <w:p w:rsidR="00AB3EB7" w:rsidRPr="00AB3EB7" w:rsidRDefault="00AB3EB7" w:rsidP="0040412D">
      <w:pPr>
        <w:widowControl/>
        <w:numPr>
          <w:ilvl w:val="0"/>
          <w:numId w:val="5"/>
        </w:numPr>
        <w:jc w:val="both"/>
        <w:textAlignment w:val="baseline"/>
        <w:rPr>
          <w:rFonts w:ascii="Times New Roman" w:eastAsia="Times New Roman" w:hAnsi="Times New Roman" w:cs="Times New Roman"/>
          <w:color w:val="000000"/>
          <w:sz w:val="28"/>
          <w:szCs w:val="28"/>
          <w:lang w:val="uk-UA" w:eastAsia="uk-UA"/>
        </w:rPr>
      </w:pPr>
      <w:r w:rsidRPr="00AB3EB7">
        <w:rPr>
          <w:rFonts w:ascii="Times New Roman" w:eastAsia="Times New Roman" w:hAnsi="Times New Roman" w:cs="Times New Roman"/>
          <w:color w:val="000000"/>
          <w:sz w:val="28"/>
          <w:szCs w:val="28"/>
          <w:lang w:val="uk-UA" w:eastAsia="uk-UA"/>
        </w:rPr>
        <w:lastRenderedPageBreak/>
        <w:t>Приблизна сукупна площа приміщень, де розміщені конференц-зали, складає 5220 кв.м,  серед них готелі, ресторани та коворкінги, де є можливість організувати конференцію, зустріч чи іншу освітню подію. Загальна кількість сидячих місць у приміщеннях – бл. 4560.</w:t>
      </w:r>
    </w:p>
    <w:p w:rsidR="00AB3EB7" w:rsidRPr="00AB3EB7" w:rsidRDefault="00AB3EB7" w:rsidP="0040412D">
      <w:pPr>
        <w:widowControl/>
        <w:numPr>
          <w:ilvl w:val="0"/>
          <w:numId w:val="6"/>
        </w:numPr>
        <w:jc w:val="both"/>
        <w:textAlignment w:val="baseline"/>
        <w:rPr>
          <w:rFonts w:ascii="Times New Roman" w:eastAsia="Times New Roman" w:hAnsi="Times New Roman" w:cs="Times New Roman"/>
          <w:color w:val="000000"/>
          <w:sz w:val="28"/>
          <w:szCs w:val="28"/>
          <w:lang w:val="uk-UA" w:eastAsia="uk-UA"/>
        </w:rPr>
      </w:pPr>
      <w:r w:rsidRPr="00AB3EB7">
        <w:rPr>
          <w:rFonts w:ascii="Times New Roman" w:eastAsia="Times New Roman" w:hAnsi="Times New Roman" w:cs="Times New Roman"/>
          <w:color w:val="000000"/>
          <w:sz w:val="28"/>
          <w:szCs w:val="28"/>
          <w:lang w:val="uk-UA" w:eastAsia="uk-UA"/>
        </w:rPr>
        <w:t>Кількість туристів, які сплатили туристичний збір – 79 402 особи, із розрахунку однієї ночівлі на одного відвідувача міста. Загальна сума збору за 2019 рік – 2 040 458 грн. За розрахунками на основі туристичного збору кількість ночівель у готелях та гостелах зростала упродовж 2016-2019 років та на кінець 2019 року становила більше 79 тисяч ночівель, що на 32% більше у порівнянні із минулим роком. Зважаючи на виклики, що стоять перед туристичною галуззю в період пандемії COVID-19, у найближчі роки важливо відновити цю тенденцію та повернутися до показників докарантинного періоду.</w:t>
      </w:r>
    </w:p>
    <w:p w:rsidR="00AB3EB7" w:rsidRPr="00AB3EB7" w:rsidRDefault="00AB3EB7" w:rsidP="0040412D">
      <w:pPr>
        <w:widowControl/>
        <w:numPr>
          <w:ilvl w:val="0"/>
          <w:numId w:val="7"/>
        </w:numPr>
        <w:jc w:val="both"/>
        <w:textAlignment w:val="baseline"/>
        <w:rPr>
          <w:rFonts w:ascii="Times New Roman" w:eastAsia="Times New Roman" w:hAnsi="Times New Roman" w:cs="Times New Roman"/>
          <w:color w:val="000000"/>
          <w:sz w:val="28"/>
          <w:szCs w:val="28"/>
          <w:lang w:val="uk-UA" w:eastAsia="uk-UA"/>
        </w:rPr>
      </w:pPr>
      <w:r w:rsidRPr="00AB3EB7">
        <w:rPr>
          <w:rFonts w:ascii="Times New Roman" w:eastAsia="Times New Roman" w:hAnsi="Times New Roman" w:cs="Times New Roman"/>
          <w:color w:val="000000"/>
          <w:sz w:val="28"/>
          <w:szCs w:val="28"/>
          <w:lang w:val="uk-UA" w:eastAsia="uk-UA"/>
        </w:rPr>
        <w:t>Кількість відвідувачів туристично-інформаційного центру. Туристично-інформаційний центр у Вежі Артинова за 2019 рік надав інформацію про туристичні можливості 5,9 тисячам осіб. Навесні 2020 року  туристично-інформаційний центр призупинив свою діяльність через запроваджені карантинні обмеження та відсутність приміщення, що відповідало би санітарним нормам.</w:t>
      </w:r>
    </w:p>
    <w:p w:rsidR="00AB3EB7" w:rsidRPr="00AB3EB7" w:rsidRDefault="00AB3EB7" w:rsidP="0040412D">
      <w:pPr>
        <w:widowControl/>
        <w:numPr>
          <w:ilvl w:val="0"/>
          <w:numId w:val="8"/>
        </w:numPr>
        <w:jc w:val="both"/>
        <w:textAlignment w:val="baseline"/>
        <w:rPr>
          <w:rFonts w:ascii="Times New Roman" w:eastAsia="Times New Roman" w:hAnsi="Times New Roman" w:cs="Times New Roman"/>
          <w:color w:val="000000"/>
          <w:sz w:val="28"/>
          <w:szCs w:val="28"/>
          <w:lang w:val="uk-UA" w:eastAsia="uk-UA"/>
        </w:rPr>
      </w:pPr>
      <w:r w:rsidRPr="00AB3EB7">
        <w:rPr>
          <w:rFonts w:ascii="Times New Roman" w:eastAsia="Times New Roman" w:hAnsi="Times New Roman" w:cs="Times New Roman"/>
          <w:color w:val="000000"/>
          <w:sz w:val="28"/>
          <w:szCs w:val="28"/>
          <w:lang w:val="uk-UA" w:eastAsia="uk-UA"/>
        </w:rPr>
        <w:t>Кількість відвідувачів туристично-орієнтованих музеїв та їх вуличних виставок за останні роки постійно зростає та у 2019 році складала 522 760 осіб.</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Враховуючи економіко-географічне положення, можна припустити, що м. Вінниця більш відкрите для внутрішнього відвідувача, ніж для іноземного. За результатами проведеного у липні 2019 року маркетингового дослідження туристичної привабливості міста, реалізованого соціологічною агенцією Fama (опитано 400 відвідувачів Вінниці із допустимою похибкою вибірки менше 4,9%), відомо, що лише 8,2 % із загальної кількості відвідувачів – іноземці, тоді як більше 90% – внутрішні туристи, значна частина з яких – мешканці сусідніх областей та столиці.</w:t>
      </w:r>
    </w:p>
    <w:p w:rsidR="00AB3EB7" w:rsidRPr="00AB3EB7" w:rsidRDefault="00AB3EB7" w:rsidP="00AB3EB7">
      <w:pPr>
        <w:widowControl/>
        <w:ind w:firstLine="4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Слід зазначити, що на початку 2020 року увесь світ, у тому числі і Україна, зіткнувся із епідемічною кризою в системі охорони здоров’я та економіки. Туризм є однією із галузей, яка постраждала найбільше і потребує найбільше часу для відновлення. За інформацією аналітиків UBS, витрати туристів у Європі впали на 68%. Водночас саме туризм як галузь з великою доданою вартістю може швидко адаптуватися під нові реалії та посилити свою частку в структурі економічних відносин.</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i/>
          <w:iCs/>
          <w:color w:val="000000"/>
          <w:sz w:val="28"/>
          <w:szCs w:val="28"/>
          <w:lang w:val="uk-UA" w:eastAsia="uk-UA"/>
        </w:rPr>
        <w:t> 1.2.2 Аналіз нормативно-правової бази</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Нормативно-правову основу розробки Програми складають Закони України «Про місцеве самоврядування в Україні» та «Про туризм».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Практичну регуляцію діяльності об’єктів туристичної інфраструктури, основні напрямки діяльності щодо поширення інформації про туристичний потенціал визначають Розпорядження Кабінету Міністрів України від 16 березня 2017 р. № 168-р «Про схвалення Стратегії розвитку туризму та курортів на період до 2026 року»; Постанова Кабінету Міністрів України від 3 липня 2013 р. №740 </w:t>
      </w:r>
      <w:r w:rsidRPr="00AB3EB7">
        <w:rPr>
          <w:rFonts w:ascii="Times New Roman" w:eastAsia="Times New Roman" w:hAnsi="Times New Roman" w:cs="Times New Roman"/>
          <w:color w:val="000000"/>
          <w:sz w:val="28"/>
          <w:szCs w:val="28"/>
          <w:lang w:val="uk-UA" w:eastAsia="uk-UA"/>
        </w:rPr>
        <w:lastRenderedPageBreak/>
        <w:t>«Про затвердження Порядку доведення до споживачів інформації про вид об’єкта туристичної інфраструктури та його категорію» (зі змінами).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Основні напрямки розвитку туристичної галузі регіону визначені рішенням Вінницької обласної ради від 21 лютого 2020 року №921 «Про Стратегію збалансованого регіонального розвитку Вінницької області на період до 2027 року»; рішенням Вінницької міської ради від 22 лютого 2019 року №1542 «Про затвердження «Концепції інтегрованого розвитку м. Вінниці 2030»; рішенням Вінницької міської ради від 25 вересня 2020 року </w:t>
      </w:r>
      <w:r w:rsidRPr="00AB3EB7">
        <w:rPr>
          <w:rFonts w:ascii="Times New Roman" w:eastAsia="Times New Roman" w:hAnsi="Times New Roman" w:cs="Times New Roman"/>
          <w:color w:val="FF0000"/>
          <w:sz w:val="28"/>
          <w:szCs w:val="28"/>
          <w:shd w:val="clear" w:color="auto" w:fill="F4CCCC"/>
          <w:lang w:val="uk-UA" w:eastAsia="uk-UA"/>
        </w:rPr>
        <w:t>№__</w:t>
      </w:r>
      <w:r w:rsidRPr="00AB3EB7">
        <w:rPr>
          <w:rFonts w:ascii="Times New Roman" w:eastAsia="Times New Roman" w:hAnsi="Times New Roman" w:cs="Times New Roman"/>
          <w:color w:val="000000"/>
          <w:sz w:val="28"/>
          <w:szCs w:val="28"/>
          <w:lang w:val="uk-UA" w:eastAsia="uk-UA"/>
        </w:rPr>
        <w:t xml:space="preserve"> «Про затвердження Стратегії розвитку туризму міста Вінниці до 2030 року» та рішенням Вінницької міської ради від 01 серпня 2019 року №1910 «Про затвердження Плану реалізації та каталогу стратегічних проектів «Концепції інтегрованого розвитку м. Вінниці 2030».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Програма відповідає діючому законодавству України.</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i/>
          <w:iCs/>
          <w:color w:val="000000"/>
          <w:sz w:val="28"/>
          <w:szCs w:val="28"/>
          <w:lang w:val="uk-UA" w:eastAsia="uk-UA"/>
        </w:rPr>
        <w:t>1.2.3 Опис успішних прикладів</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Одним з прикладів успішної імплементації політик та заходів з розвитку туризму є місто </w:t>
      </w:r>
      <w:r w:rsidRPr="00AB3EB7">
        <w:rPr>
          <w:rFonts w:ascii="Times New Roman" w:eastAsia="Times New Roman" w:hAnsi="Times New Roman" w:cs="Times New Roman"/>
          <w:b/>
          <w:bCs/>
          <w:color w:val="000000"/>
          <w:sz w:val="28"/>
          <w:szCs w:val="28"/>
          <w:lang w:val="uk-UA" w:eastAsia="uk-UA"/>
        </w:rPr>
        <w:t>Київ</w:t>
      </w:r>
      <w:r w:rsidRPr="00AB3EB7">
        <w:rPr>
          <w:rFonts w:ascii="Times New Roman" w:eastAsia="Times New Roman" w:hAnsi="Times New Roman" w:cs="Times New Roman"/>
          <w:color w:val="000000"/>
          <w:sz w:val="28"/>
          <w:szCs w:val="28"/>
          <w:lang w:val="uk-UA" w:eastAsia="uk-UA"/>
        </w:rPr>
        <w:t>. У столиці розроблена Стратегія розвитку міста Києва до 2025 року, на основі якої розроблена та діє Міська цільова програма розвитку туризму в місті Києві на 2019-2021 роки, прогнозовані обсяги фінансування якої становлять 219 057,00 тис. грн.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У 2019 році у Києві створено Kyiv Convention Office, який сприяє розвитку ділового туризму та проведенню масштабних туристично-привабливих фестивалів та подій, наприклад Moto Open Fest, Kyiv Food &amp; Wine Festival, Courage Bazaar, Atlas Weekend, Kyiv Art week тощо.</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Київ здійснює активну промоцію дестинації шляхом участі у національних та міжнародних туристичних виставках, проведення прес-турів, зйомок промо-роликів та ін.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Загалом реалізація програми дала можливість місту за 2019 рік отримати 63,3 млн грн туристичного збору. Це майже на 31 мільйон більше, ніж у 2018 році.</w:t>
      </w:r>
    </w:p>
    <w:p w:rsidR="00AB3EB7" w:rsidRPr="00AB3EB7" w:rsidRDefault="00AB3EB7" w:rsidP="00AB3EB7">
      <w:pPr>
        <w:widowControl/>
        <w:ind w:firstLine="720"/>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Також у Києві діє Всеукраїнська асоціація гідів, яка має на меті розробку та просування якісного екскурсійного продукту, підвищення рівня професійної майстерності гідів, конкретизації їх ролі й місця в просвітницькому та виховному процесі, підвищенню  авторитету професії. Організація проводить різного роду курси для підготовки гідів та екскурсоводів.</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У </w:t>
      </w:r>
      <w:r w:rsidRPr="00AB3EB7">
        <w:rPr>
          <w:rFonts w:ascii="Times New Roman" w:eastAsia="Times New Roman" w:hAnsi="Times New Roman" w:cs="Times New Roman"/>
          <w:b/>
          <w:bCs/>
          <w:color w:val="000000"/>
          <w:sz w:val="28"/>
          <w:szCs w:val="28"/>
          <w:lang w:val="uk-UA" w:eastAsia="uk-UA"/>
        </w:rPr>
        <w:t xml:space="preserve">Львові </w:t>
      </w:r>
      <w:r w:rsidRPr="00AB3EB7">
        <w:rPr>
          <w:rFonts w:ascii="Times New Roman" w:eastAsia="Times New Roman" w:hAnsi="Times New Roman" w:cs="Times New Roman"/>
          <w:color w:val="000000"/>
          <w:sz w:val="28"/>
          <w:szCs w:val="28"/>
          <w:lang w:val="uk-UA" w:eastAsia="uk-UA"/>
        </w:rPr>
        <w:t xml:space="preserve">прийнято Комплексну стратегію розвитку міста, одним з пріоритетів в якій є </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Місто традицій, знань, культури, туризму та спорту</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 xml:space="preserve">. Також в місті діє Програма розвитку туристичної галузі м. Львова на 2016-2022 роки, Міська, загальноукраїнська та міжнародна програма промоції, Програма </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Почесні амбасадори Львова</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 xml:space="preserve">, Програма </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Львів науковий</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 xml:space="preserve"> та ін., які спрямовані на промоцію та розвиток різних видів туризму у місті.</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Незважаючи на сформований туристичний імідж Львова, місто докладає багато зусиль для промоції, зокрема, відвідує велику кількість туристичних виставок за кордоном та організовує промо-тури для іноземних ЗМІ та блогерів. Створюються нові туристичні продукти, активно розвиваються нові </w:t>
      </w:r>
      <w:r w:rsidRPr="00AB3EB7">
        <w:rPr>
          <w:rFonts w:ascii="Times New Roman" w:eastAsia="Times New Roman" w:hAnsi="Times New Roman" w:cs="Times New Roman"/>
          <w:color w:val="000000"/>
          <w:sz w:val="28"/>
          <w:szCs w:val="28"/>
          <w:lang w:val="uk-UA" w:eastAsia="uk-UA"/>
        </w:rPr>
        <w:lastRenderedPageBreak/>
        <w:t>авіасполучення, проводяться навчання для представників сфери гостинності, гідів та музейників, створено Lviv City Card та оновлено туристичний сайт.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Також в регіоні активно розвивають медичний туризм, зокрема було створено Львівський кластер медичного туризму і у 2019 році проведено</w:t>
      </w:r>
      <w:r w:rsidRPr="00AB3EB7">
        <w:rPr>
          <w:rFonts w:ascii="Times New Roman" w:eastAsia="Times New Roman" w:hAnsi="Times New Roman" w:cs="Times New Roman"/>
          <w:color w:val="222222"/>
          <w:sz w:val="28"/>
          <w:szCs w:val="28"/>
          <w:shd w:val="clear" w:color="auto" w:fill="FFFFFF"/>
          <w:lang w:val="uk-UA" w:eastAsia="uk-UA"/>
        </w:rPr>
        <w:t xml:space="preserve"> Перший регіональний форум медичного туризму Львівщини, а в його рамках і Міжнародний конгрес з медичного та оздоровчого туризму, інфо-тури в провідні клініки та на курорти Львівщини, В2В-зустрічі, де представники медичних і оздоровчих центрів обговорювали співпрацю із 30 провайдерами з інших держав.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З 2013 року у Львові діє комунальне підприємство «Львівське конференц-бюро», діяльність якого спрямована на популяризацію Львова як нового напрямку ділової гостинності у Східній Європі та співпрацю з місцевим бізнесом, задля збільшення кількості бізнес-туристів. </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З 2010 року на регулярній основі у Львові відбувається міська Школа екскурсоводів, що має на меті підвищення кваліфікації гідів. З 2019 року всі, хто пройшов навчання в школі екскурсоводів, отримують ідентифікаційні професійні картки екскурсоводів від Львівської міської ради. Картка передбачає ідентифікацію гіда, який надає професійні послуги, внесення до реєстру екскурсоводів, які працюють в місті, а також безкоштовний вхід у міські музеї.</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У Львові функціонує три туристично-інформаційні центри: у центрі міста, на залізничному вокзалі та аеропорту, які забезпечують туристів безкоштовними інформаційними матеріалами про місто, події, екскурсії та ін., а також можливістю придбати картку туриста та сувенірну продукцію.</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shd w:val="clear" w:color="auto" w:fill="FFFFFF"/>
          <w:lang w:val="uk-UA" w:eastAsia="uk-UA"/>
        </w:rPr>
        <w:t xml:space="preserve">У місті </w:t>
      </w:r>
      <w:r w:rsidRPr="00AB3EB7">
        <w:rPr>
          <w:rFonts w:ascii="Times New Roman" w:eastAsia="Times New Roman" w:hAnsi="Times New Roman" w:cs="Times New Roman"/>
          <w:b/>
          <w:bCs/>
          <w:color w:val="000000"/>
          <w:sz w:val="28"/>
          <w:szCs w:val="28"/>
          <w:shd w:val="clear" w:color="auto" w:fill="FFFFFF"/>
          <w:lang w:val="uk-UA" w:eastAsia="uk-UA"/>
        </w:rPr>
        <w:t xml:space="preserve">Чернігів </w:t>
      </w:r>
      <w:r w:rsidRPr="00AB3EB7">
        <w:rPr>
          <w:rFonts w:ascii="Times New Roman" w:eastAsia="Times New Roman" w:hAnsi="Times New Roman" w:cs="Times New Roman"/>
          <w:color w:val="000000"/>
          <w:sz w:val="28"/>
          <w:szCs w:val="28"/>
          <w:shd w:val="clear" w:color="auto" w:fill="FFFFFF"/>
          <w:lang w:val="uk-UA" w:eastAsia="uk-UA"/>
        </w:rPr>
        <w:t xml:space="preserve">функціонує Програма розвитку туризму та промоції міста Чернігів на 2019-2021 роки. На виконання програми у 2019 році в Чернігові відкрили Туристичний інформаційний центр, </w:t>
      </w:r>
      <w:r w:rsidRPr="00AB3EB7">
        <w:rPr>
          <w:rFonts w:ascii="Times New Roman" w:eastAsia="Times New Roman" w:hAnsi="Times New Roman" w:cs="Times New Roman"/>
          <w:color w:val="000000"/>
          <w:sz w:val="28"/>
          <w:szCs w:val="28"/>
          <w:shd w:val="clear" w:color="auto" w:fill="F7F7F7"/>
          <w:lang w:val="uk-UA" w:eastAsia="uk-UA"/>
        </w:rPr>
        <w:t xml:space="preserve">який отримав сертифікат якості послуг </w:t>
      </w:r>
      <w:r w:rsidRPr="00AB3EB7">
        <w:rPr>
          <w:rFonts w:ascii="Times New Roman" w:eastAsia="Times New Roman" w:hAnsi="Times New Roman" w:cs="Times New Roman"/>
          <w:color w:val="000000"/>
          <w:sz w:val="28"/>
          <w:szCs w:val="28"/>
          <w:lang w:val="uk-UA" w:eastAsia="uk-UA"/>
        </w:rPr>
        <w:t>відповідно до міжнародного стандарту ISO-14785, який містить критерії щодо внутрішнього і зовнішнього стану, підготовки персоналу в центрі, безкоштовних і платних послуг у ньому та іншого. Зокрема, у стандарті є критерії, як має виглядати зовнішня сторона центру, що має бути з інформаційних матеріалів (які карти, які буклети, яка довідкова інформація), що має знати персонал, на які питання і якими мовами він має відповідати, що турист має побачити в центрі, коли він зачинений, тощо.</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З 2019 року у місті Чернігів діє Школа гідів, започаткована у співпраці місцевої влади та Національної туристичної організації України. Курси передбачають 600 годин інтерактивного навчання, що відповідає європейським стандартам, на базі Туристично-інформаційного центру міста Чернігова. Щоб отримати сертифікат європейського зразка, учасники мають скласти іспит та провести авторську екскурсію: українською та англійською мовами. </w:t>
      </w:r>
    </w:p>
    <w:p w:rsidR="00AB3EB7" w:rsidRPr="00AB3EB7" w:rsidRDefault="00AB3EB7" w:rsidP="00AB3EB7">
      <w:pPr>
        <w:widowControl/>
        <w:ind w:firstLine="567"/>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Одним із успішних прикладів промоції дестинації та розвитку туризму є місто </w:t>
      </w:r>
      <w:r w:rsidRPr="00AB3EB7">
        <w:rPr>
          <w:rFonts w:ascii="Times New Roman" w:eastAsia="Times New Roman" w:hAnsi="Times New Roman" w:cs="Times New Roman"/>
          <w:b/>
          <w:bCs/>
          <w:color w:val="000000"/>
          <w:sz w:val="28"/>
          <w:szCs w:val="28"/>
          <w:lang w:val="uk-UA" w:eastAsia="uk-UA"/>
        </w:rPr>
        <w:t>Запоріжжя</w:t>
      </w:r>
      <w:r w:rsidRPr="00AB3EB7">
        <w:rPr>
          <w:rFonts w:ascii="Times New Roman" w:eastAsia="Times New Roman" w:hAnsi="Times New Roman" w:cs="Times New Roman"/>
          <w:color w:val="000000"/>
          <w:sz w:val="28"/>
          <w:szCs w:val="28"/>
          <w:lang w:val="uk-UA" w:eastAsia="uk-UA"/>
        </w:rPr>
        <w:t>, яке фокусується на трьох основних напрямках туризму: подієвий, індустріальний та природний. У місті діє Програма розвитку туризму, в рамках якої видатки на галузь у 2019 році склали 5,7 млн. грн. Туристично-інформаційний центр Запоріжжя функціонує також як майданчик для проведення різноманітних культурних, бізнесових та освітніх подій.</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lastRenderedPageBreak/>
        <w:t xml:space="preserve">В </w:t>
      </w:r>
      <w:r w:rsidRPr="00AB3EB7">
        <w:rPr>
          <w:rFonts w:ascii="Times New Roman" w:eastAsia="Times New Roman" w:hAnsi="Times New Roman" w:cs="Times New Roman"/>
          <w:b/>
          <w:bCs/>
          <w:color w:val="000000"/>
          <w:sz w:val="28"/>
          <w:szCs w:val="28"/>
          <w:lang w:val="uk-UA" w:eastAsia="uk-UA"/>
        </w:rPr>
        <w:t xml:space="preserve">Одесі </w:t>
      </w:r>
      <w:r w:rsidRPr="00AB3EB7">
        <w:rPr>
          <w:rFonts w:ascii="Times New Roman" w:eastAsia="Times New Roman" w:hAnsi="Times New Roman" w:cs="Times New Roman"/>
          <w:color w:val="000000"/>
          <w:sz w:val="28"/>
          <w:szCs w:val="28"/>
          <w:lang w:val="uk-UA" w:eastAsia="uk-UA"/>
        </w:rPr>
        <w:t>програма розвитку туризму дозволила втілити роботу з підтримки існуючих філій КП «Туристичний інформаційний центр м. Одеси», впровадити подальше наповнення та оновлення туристичного сайту міста, розробити проект «Створення та впровадження проекту безкоштовної інформаційної допомоги туристам міста волонтерами «Інфо Груп» та розпочати розробку проекту «Система QR-код та інформаційних стендів по об'єктами туристичних маршрутів міста». З 2018 року у місті функціонує Центр туристичної інформації, який працює згідно міжнародних стандартів ISO і за два роки функціонування став платформою для формування туристичної спільноти міста.</w:t>
      </w:r>
    </w:p>
    <w:p w:rsidR="00AB3EB7" w:rsidRPr="00AB3EB7" w:rsidRDefault="00AB3EB7" w:rsidP="00AB3EB7">
      <w:pPr>
        <w:widowControl/>
        <w:ind w:firstLine="566"/>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Уже два роки в Україні діє проект Європейського союзу </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 xml:space="preserve">Географічні зазначення», одним із елементів якого є розробка, впровадження та розвиток еногастрономічних туристичних маршрутів України. Наразі в Одеській області реалізується пілотний маршрут </w:t>
      </w:r>
      <w:r w:rsidRPr="00AB3EB7">
        <w:rPr>
          <w:rFonts w:ascii="Times New Roman" w:eastAsia="Times New Roman" w:hAnsi="Times New Roman" w:cs="Times New Roman"/>
          <w:color w:val="222222"/>
          <w:sz w:val="28"/>
          <w:szCs w:val="28"/>
          <w:shd w:val="clear" w:color="auto" w:fill="FFFFFF"/>
          <w:lang w:val="uk-UA" w:eastAsia="uk-UA"/>
        </w:rPr>
        <w:t>«</w:t>
      </w:r>
      <w:r w:rsidRPr="00AB3EB7">
        <w:rPr>
          <w:rFonts w:ascii="Times New Roman" w:eastAsia="Times New Roman" w:hAnsi="Times New Roman" w:cs="Times New Roman"/>
          <w:color w:val="000000"/>
          <w:sz w:val="28"/>
          <w:szCs w:val="28"/>
          <w:lang w:val="uk-UA" w:eastAsia="uk-UA"/>
        </w:rPr>
        <w:t xml:space="preserve">Дорога вина та смаку Української Бессарабії», який буде тестуватися протягом двох років. Маршрут </w:t>
      </w:r>
      <w:r w:rsidRPr="00AB3EB7">
        <w:rPr>
          <w:rFonts w:ascii="Times New Roman" w:eastAsia="Times New Roman" w:hAnsi="Times New Roman" w:cs="Times New Roman"/>
          <w:color w:val="000000"/>
          <w:sz w:val="28"/>
          <w:szCs w:val="28"/>
          <w:shd w:val="clear" w:color="auto" w:fill="FFFFFF"/>
          <w:lang w:val="uk-UA" w:eastAsia="uk-UA"/>
        </w:rPr>
        <w:t>прокладений південно-західними районами Одеської області та дозволяє туристу ознайомитися з кулінарними особливостями Бессарабського регіону.</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i/>
          <w:iCs/>
          <w:color w:val="000000"/>
          <w:sz w:val="28"/>
          <w:szCs w:val="28"/>
          <w:lang w:val="uk-UA" w:eastAsia="uk-UA"/>
        </w:rPr>
        <w:t>1.2.4 Визначення напряму</w:t>
      </w:r>
    </w:p>
    <w:p w:rsidR="00AB3EB7" w:rsidRPr="00AB3EB7" w:rsidRDefault="00AB3EB7" w:rsidP="00AB3EB7">
      <w:pPr>
        <w:widowControl/>
        <w:ind w:firstLine="425"/>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Часта зміна пріоритетів у державній політиці України та додатковий вплив карантинних обмежень є причиною переглядів та переосмислень державних стратегічних документів, програм, дій, тощо. Лише влітку 2020 року Міністерство культури та інформаційної політики України спільно з міжнародними експертами сформувало дорожню карту розвитку туризму, яка ляже в основу стратегії розвитку туризму та курортів. Стратегічними завданнями дорожньої карти є запровадження системи туристичної статистики, новий законопроект про туризм, вдосконалення системи управління галуззю, діджиталізація, створення реєстру суб’єктів туристичної діяльності.</w:t>
      </w:r>
    </w:p>
    <w:p w:rsidR="00AB3EB7" w:rsidRPr="00AB3EB7" w:rsidRDefault="00AB3EB7" w:rsidP="00AB3EB7">
      <w:pPr>
        <w:widowControl/>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Проблема</w:t>
      </w:r>
    </w:p>
    <w:p w:rsidR="00AB3EB7" w:rsidRPr="00AB3EB7" w:rsidRDefault="00AB3EB7" w:rsidP="00AB3EB7">
      <w:pPr>
        <w:widowControl/>
        <w:ind w:firstLine="425"/>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Незважаючи на позитивні тенденції розвитку сфери туризму та індустрії гостинності, сильні сторони та можливості Вінницької міської ОТГ, конкурентоспроможність її туристичного продукту залишається низькою, що зумовлює недостатню кількість туристів (зокрема, в міжсезоння), малий розмір надходжень від галузі до бюджету Вінницької міської об'єднаної територіальної громади (далі – бюджет ВМОТГ) та інвестицій у галузь. Причиною ж є несформованість туристичного продукту та його недостатня промоція, відсутні або неналежного стану елементи туристичної інфраструктури, рівень сервісу, забезпеченість кадрами та координацій дій влади, бізнесу та громадських організацій.</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1.3 Мета програми</w:t>
      </w:r>
    </w:p>
    <w:p w:rsidR="00AB3EB7" w:rsidRPr="00AB3EB7" w:rsidRDefault="00AB3EB7" w:rsidP="00AB3EB7">
      <w:pPr>
        <w:widowControl/>
        <w:ind w:firstLine="425"/>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Метою програми є формування конкурентоспроможного туристичного продукту Вінницької міської ОТГ, збільшення туристичних потоків, а також перетворення галузі туризму у стабільне і вагоме джерело надходжень бюджету ВМОТГ шляхом залучення інвестицій та збільшення кількості зайнятих у галузі.</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1.4 Пріоритетні завдання програми</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lastRenderedPageBreak/>
        <w:t>1. Маркетинг дестинації.</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2. Формування туристичних продуктів Вінницької міської ОТГ.</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3. Розвиток туристичної інфраструктури.</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4. Поліпшення якості послуг, кадрового забезпечення та комунікацій в сфері туризму.</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jc w:val="both"/>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1.5 Обґрунтування шляхів і засобів розв'язання проблеми, строки та етапи виконання програми</w:t>
      </w:r>
    </w:p>
    <w:p w:rsidR="00AB3EB7" w:rsidRPr="00AB3EB7" w:rsidRDefault="00AB3EB7" w:rsidP="00AB3EB7">
      <w:pPr>
        <w:widowControl/>
        <w:ind w:firstLine="425"/>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shd w:val="clear" w:color="auto" w:fill="FFFFFF"/>
          <w:lang w:val="uk-UA" w:eastAsia="uk-UA"/>
        </w:rPr>
        <w:t>Подальший розвиток сфери туризму міста, підвищення конкурентоспроможності його туристичного продукту реалізується через організацію, формування та сприяння у проведенні пріоритетних заходів для розвитку туризму, серед яких:</w:t>
      </w:r>
    </w:p>
    <w:p w:rsidR="00AB3EB7" w:rsidRPr="00AB3EB7" w:rsidRDefault="00AB3EB7" w:rsidP="0040412D">
      <w:pPr>
        <w:widowControl/>
        <w:numPr>
          <w:ilvl w:val="0"/>
          <w:numId w:val="9"/>
        </w:numPr>
        <w:jc w:val="both"/>
        <w:textAlignment w:val="baseline"/>
        <w:rPr>
          <w:rFonts w:ascii="Times New Roman" w:eastAsia="Times New Roman" w:hAnsi="Times New Roman" w:cs="Times New Roman"/>
          <w:color w:val="222222"/>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Цифрове просування дестинації, створення та розповсюдження інформаційних матеріалів про місто та регіон, участь у виставках, проведення маркетингових досліджень, прийняття та туристичне обслуговування представників із різних сфер суспільного життя;</w:t>
      </w:r>
    </w:p>
    <w:p w:rsidR="00AB3EB7" w:rsidRPr="00AB3EB7" w:rsidRDefault="00AB3EB7" w:rsidP="0040412D">
      <w:pPr>
        <w:widowControl/>
        <w:numPr>
          <w:ilvl w:val="0"/>
          <w:numId w:val="9"/>
        </w:numPr>
        <w:jc w:val="both"/>
        <w:textAlignment w:val="baseline"/>
        <w:rPr>
          <w:rFonts w:ascii="Times New Roman" w:eastAsia="Times New Roman" w:hAnsi="Times New Roman" w:cs="Times New Roman"/>
          <w:color w:val="222222"/>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Формування туристичних продуктів через стимулювання культурно-пізнавального, гастрономічного, ділового і освітнього, активного і екологічного туризму, створення креативних туристичних продуктів;</w:t>
      </w:r>
    </w:p>
    <w:p w:rsidR="00AB3EB7" w:rsidRPr="00AB3EB7" w:rsidRDefault="00AB3EB7" w:rsidP="0040412D">
      <w:pPr>
        <w:widowControl/>
        <w:numPr>
          <w:ilvl w:val="0"/>
          <w:numId w:val="9"/>
        </w:numPr>
        <w:jc w:val="both"/>
        <w:textAlignment w:val="baseline"/>
        <w:rPr>
          <w:rFonts w:ascii="Times New Roman" w:eastAsia="Times New Roman" w:hAnsi="Times New Roman" w:cs="Times New Roman"/>
          <w:color w:val="222222"/>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Розвиток туристичної інфраструктури, а саме створення туристично-інформаційних центрів/пунктів, підвищення рівня доступності туристичних об'єктів для маломобільних груп населення, уніфікація та осучаснення туристичних сервісів, інформації та навігації у місті та населених пунктах територіальної громади;</w:t>
      </w:r>
    </w:p>
    <w:p w:rsidR="00AB3EB7" w:rsidRPr="00AB3EB7" w:rsidRDefault="00AB3EB7" w:rsidP="0040412D">
      <w:pPr>
        <w:widowControl/>
        <w:numPr>
          <w:ilvl w:val="0"/>
          <w:numId w:val="9"/>
        </w:numPr>
        <w:jc w:val="both"/>
        <w:textAlignment w:val="baseline"/>
        <w:rPr>
          <w:rFonts w:ascii="Times New Roman" w:eastAsia="Times New Roman" w:hAnsi="Times New Roman" w:cs="Times New Roman"/>
          <w:color w:val="222222"/>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Поліпшення якості послуг, кадрового забезпечення та комунікацій в сфері туризму через реалізацію проєктів з навчання та підвищення кваліфікації працівників туристичної сфери, проведення тренінгових та комунікаційних заходів для підприємств туристичної галузі, розширення співпраці з іншими містами та регіонами.</w:t>
      </w:r>
    </w:p>
    <w:p w:rsidR="00AB3EB7" w:rsidRPr="00AB3EB7" w:rsidRDefault="00AB3EB7" w:rsidP="00AB3EB7">
      <w:pPr>
        <w:widowControl/>
        <w:ind w:firstLine="425"/>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222222"/>
          <w:sz w:val="28"/>
          <w:szCs w:val="28"/>
          <w:shd w:val="clear" w:color="auto" w:fill="FFFFFF"/>
          <w:lang w:val="uk-UA" w:eastAsia="uk-UA"/>
        </w:rPr>
        <w:t>Орієнтовні обсяги фінансування заходів, строки та етапи виконання пріоритетних завдань програми викладені в інформації щодо напрямків діяльності та заходів програми.</w:t>
      </w:r>
    </w:p>
    <w:p w:rsidR="00AB3EB7" w:rsidRPr="00AB3EB7" w:rsidRDefault="00AB3EB7" w:rsidP="00AB3EB7">
      <w:pPr>
        <w:widowControl/>
        <w:rPr>
          <w:rFonts w:ascii="Times New Roman" w:eastAsia="Times New Roman" w:hAnsi="Times New Roman" w:cs="Times New Roman"/>
          <w:sz w:val="28"/>
          <w:szCs w:val="28"/>
          <w:lang w:val="uk-UA" w:eastAsia="uk-UA"/>
        </w:rPr>
      </w:pP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1.6  Зв’язки програми розвитку туризму з візіями, стратегічними намірами, цілями і проектами КІРМ 2030 </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Візіями та цілями, визначеними КІРМ м. Вінниці 2030 та у межах яких здійснюють свою діяльність виконавці програми, є:</w:t>
      </w:r>
    </w:p>
    <w:p w:rsidR="00AB3EB7" w:rsidRPr="00AB3EB7" w:rsidRDefault="00AB3EB7" w:rsidP="00AB3EB7">
      <w:pPr>
        <w:widowControl/>
        <w:rPr>
          <w:rFonts w:ascii="Times New Roman" w:eastAsia="Times New Roman" w:hAnsi="Times New Roman" w:cs="Times New Roman"/>
          <w:sz w:val="28"/>
          <w:szCs w:val="28"/>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470"/>
        <w:gridCol w:w="1617"/>
        <w:gridCol w:w="1748"/>
        <w:gridCol w:w="1695"/>
        <w:gridCol w:w="2231"/>
      </w:tblGrid>
      <w:tr w:rsidR="00AB3EB7" w:rsidRPr="00AB3EB7" w:rsidTr="00AB3E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ind w:left="283"/>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Візія</w:t>
            </w:r>
          </w:p>
        </w:tc>
        <w:tc>
          <w:tcPr>
            <w:tcW w:w="0" w:type="auto"/>
            <w:tcBorders>
              <w:top w:val="single" w:sz="8" w:space="0" w:color="000000"/>
              <w:left w:val="single" w:sz="8" w:space="0" w:color="000000"/>
              <w:bottom w:val="single" w:sz="8" w:space="0" w:color="000000"/>
              <w:right w:val="single" w:sz="8" w:space="0" w:color="000000"/>
            </w:tcBorders>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Стратегічний проект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Ціль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Підціль галузі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b/>
                <w:bCs/>
                <w:color w:val="000000"/>
                <w:sz w:val="28"/>
                <w:szCs w:val="28"/>
                <w:lang w:val="uk-UA" w:eastAsia="uk-UA"/>
              </w:rPr>
              <w:t>Захід/проект галузі</w:t>
            </w:r>
          </w:p>
        </w:tc>
      </w:tr>
      <w:tr w:rsidR="00AB3EB7" w:rsidRPr="00AB3EB7" w:rsidTr="00AB3E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Візія 1. Комфортне, культурне та </w:t>
            </w:r>
            <w:r w:rsidRPr="00AB3EB7">
              <w:rPr>
                <w:rFonts w:ascii="Times New Roman" w:eastAsia="Times New Roman" w:hAnsi="Times New Roman" w:cs="Times New Roman"/>
                <w:color w:val="000000"/>
                <w:sz w:val="28"/>
                <w:szCs w:val="28"/>
                <w:lang w:val="uk-UA" w:eastAsia="uk-UA"/>
              </w:rPr>
              <w:lastRenderedPageBreak/>
              <w:t>соціально-відповідальне місто</w:t>
            </w:r>
          </w:p>
        </w:tc>
        <w:tc>
          <w:tcPr>
            <w:tcW w:w="0" w:type="auto"/>
            <w:tcBorders>
              <w:top w:val="single" w:sz="8" w:space="0" w:color="000000"/>
              <w:left w:val="single" w:sz="8" w:space="0" w:color="000000"/>
              <w:bottom w:val="single" w:sz="8" w:space="0" w:color="000000"/>
              <w:right w:val="single" w:sz="8" w:space="0" w:color="000000"/>
            </w:tcBorders>
            <w:hideMark/>
          </w:tcPr>
          <w:p w:rsidR="00AB3EB7" w:rsidRPr="00AB3EB7" w:rsidRDefault="00AB3EB7" w:rsidP="00AB3EB7">
            <w:pPr>
              <w:widowControl/>
              <w:rPr>
                <w:rFonts w:ascii="Times New Roman" w:eastAsia="Times New Roman" w:hAnsi="Times New Roman" w:cs="Times New Roman"/>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2.1 Модернізація культурної </w:t>
            </w:r>
            <w:r w:rsidRPr="00AB3EB7">
              <w:rPr>
                <w:rFonts w:ascii="Times New Roman" w:eastAsia="Times New Roman" w:hAnsi="Times New Roman" w:cs="Times New Roman"/>
                <w:color w:val="000000"/>
                <w:sz w:val="28"/>
                <w:szCs w:val="28"/>
                <w:lang w:val="uk-UA" w:eastAsia="uk-UA"/>
              </w:rPr>
              <w:lastRenderedPageBreak/>
              <w:t>інфраструктури міста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lastRenderedPageBreak/>
              <w:t xml:space="preserve">2.1.3 Розвиток креативного </w:t>
            </w:r>
            <w:r w:rsidRPr="00AB3EB7">
              <w:rPr>
                <w:rFonts w:ascii="Times New Roman" w:eastAsia="Times New Roman" w:hAnsi="Times New Roman" w:cs="Times New Roman"/>
                <w:color w:val="000000"/>
                <w:sz w:val="28"/>
                <w:szCs w:val="28"/>
                <w:lang w:val="uk-UA" w:eastAsia="uk-UA"/>
              </w:rPr>
              <w:lastRenderedPageBreak/>
              <w:t>сектора в культурі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lastRenderedPageBreak/>
              <w:t xml:space="preserve">- популяризація основних напрямків і </w:t>
            </w:r>
            <w:r w:rsidRPr="00AB3EB7">
              <w:rPr>
                <w:rFonts w:ascii="Times New Roman" w:eastAsia="Times New Roman" w:hAnsi="Times New Roman" w:cs="Times New Roman"/>
                <w:color w:val="000000"/>
                <w:sz w:val="28"/>
                <w:szCs w:val="28"/>
                <w:lang w:val="uk-UA" w:eastAsia="uk-UA"/>
              </w:rPr>
              <w:lastRenderedPageBreak/>
              <w:t>прийомів сучасного креативного мистецтва (поп-арт, андеґраунд, авангардизм) шляхом проведення тематичних фестивалів, зокрема організація фестивалів «гастрономічної культури».</w:t>
            </w:r>
          </w:p>
        </w:tc>
      </w:tr>
      <w:tr w:rsidR="00AB3EB7" w:rsidRPr="00AB3EB7" w:rsidTr="00AB3E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6. Розробка концепції збереження та відновлення історичного центру м. Вінниці для розвитку культури, туризму і підприємництва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2.3 Виявлення та промоція культурного потенціалу міста і його локальних брендів</w:t>
            </w:r>
          </w:p>
          <w:p w:rsidR="00AB3EB7" w:rsidRPr="00AB3EB7" w:rsidRDefault="00AB3EB7" w:rsidP="00AB3EB7">
            <w:pPr>
              <w:widowControl/>
              <w:rPr>
                <w:rFonts w:ascii="Times New Roman" w:eastAsia="Times New Roman" w:hAnsi="Times New Roman" w:cs="Times New Roman"/>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2.3.1 Розробка культурного бренду міста. Визначення найголовніших культурних маркерів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створення бренду «Вінниця – місто святкових зустрічей»; розробка та впровадження суббрендів</w:t>
            </w:r>
          </w:p>
        </w:tc>
      </w:tr>
      <w:tr w:rsidR="00AB3EB7" w:rsidRPr="00AB3EB7" w:rsidTr="00AB3E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Візія 2.</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Конкурентоспроможне українське місто на мапі Східної Європи</w:t>
            </w:r>
          </w:p>
        </w:tc>
        <w:tc>
          <w:tcPr>
            <w:tcW w:w="0" w:type="auto"/>
            <w:tcBorders>
              <w:top w:val="single" w:sz="8" w:space="0" w:color="000000"/>
              <w:left w:val="single" w:sz="8" w:space="0" w:color="000000"/>
              <w:bottom w:val="single" w:sz="8" w:space="0" w:color="000000"/>
              <w:right w:val="single" w:sz="8" w:space="0" w:color="000000"/>
            </w:tcBorders>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15. Формування впізнаваного бренду міста шляхом впровадження заходів Маркетингової стратегії, мультиплікація бренду міста через локальний бізнес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1.1 Створення найкращих умов для бізнесу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1.1.4 Формування привабливого бренду міста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реалізація Маркетингової стратегії та впровадження бренд-буку</w:t>
            </w:r>
          </w:p>
        </w:tc>
      </w:tr>
      <w:tr w:rsidR="00AB3EB7" w:rsidRPr="00AB3EB7" w:rsidTr="00AB3E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16. Розробка та реалізація Туристичної стратегії як основи майбутнього швидкого зростання туристичної галузі міста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1.2 Забезпечення сталого зростання економіки міста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1.2.4 Сприяння розвитку м. Вінниці як туристичного центру Подільського регіону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стимулювання підвищення якості надання послуг туристам, створення нових туристичних сервісів;</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підвищення впізнаваності та позицій місцевих закладів у рейтингах всеукраїнських і міжнародних туристичних сервісів, популяризація локальних програмних продуктів – туристичних навігаторів, інтерактивних довідників тощо;</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організація та участь у загальноукраїнських та міжнародних туристичних виставках;</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розвиток медичного туризму;</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xml:space="preserve">- поліпшення якості та розширення туристичної інфраструктури; </w:t>
            </w:r>
            <w:r w:rsidRPr="00AB3EB7">
              <w:rPr>
                <w:rFonts w:ascii="Times New Roman" w:eastAsia="Times New Roman" w:hAnsi="Times New Roman" w:cs="Times New Roman"/>
                <w:color w:val="000000"/>
                <w:sz w:val="28"/>
                <w:szCs w:val="28"/>
                <w:lang w:val="uk-UA" w:eastAsia="uk-UA"/>
              </w:rPr>
              <w:br/>
              <w:t xml:space="preserve">- створення туристичного </w:t>
            </w:r>
            <w:r w:rsidRPr="00AB3EB7">
              <w:rPr>
                <w:rFonts w:ascii="Times New Roman" w:eastAsia="Times New Roman" w:hAnsi="Times New Roman" w:cs="Times New Roman"/>
                <w:color w:val="000000"/>
                <w:sz w:val="28"/>
                <w:szCs w:val="28"/>
                <w:lang w:val="uk-UA" w:eastAsia="uk-UA"/>
              </w:rPr>
              <w:lastRenderedPageBreak/>
              <w:t xml:space="preserve">продукту Вінниці; </w:t>
            </w:r>
            <w:r w:rsidRPr="00AB3EB7">
              <w:rPr>
                <w:rFonts w:ascii="Times New Roman" w:eastAsia="Times New Roman" w:hAnsi="Times New Roman" w:cs="Times New Roman"/>
                <w:color w:val="000000"/>
                <w:sz w:val="28"/>
                <w:szCs w:val="28"/>
                <w:lang w:val="uk-UA" w:eastAsia="uk-UA"/>
              </w:rPr>
              <w:br/>
              <w:t>- розвиток сфери туризму за кластерним принципом, створення гастрокварталу.</w:t>
            </w:r>
          </w:p>
        </w:tc>
      </w:tr>
      <w:tr w:rsidR="00AB3EB7" w:rsidRPr="00AB3EB7" w:rsidTr="00AB3E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22. Розширення міжнародної економічної співпраці: перегляд та актуалізація чинних угод про побратимство, пошук і залучення нових міжнародних партнерів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1.3 Розвиток людського капіталу і трансферу технологій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1.3.1. Промоція новітніх технологій та інновацій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проведення бізнес-місій та обмінів делегаціями з містами-побратимами у сфері розробки новітніх технологій і впровадження інноваційних рішень;</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налагодження співпраці з новими містами-побратимами;</w:t>
            </w:r>
          </w:p>
          <w:p w:rsidR="00AB3EB7" w:rsidRPr="00AB3EB7" w:rsidRDefault="00AB3EB7" w:rsidP="00AB3EB7">
            <w:pPr>
              <w:widowControl/>
              <w:rPr>
                <w:rFonts w:ascii="Times New Roman" w:eastAsia="Times New Roman" w:hAnsi="Times New Roman" w:cs="Times New Roman"/>
                <w:sz w:val="28"/>
                <w:szCs w:val="28"/>
                <w:lang w:val="uk-UA" w:eastAsia="uk-UA"/>
              </w:rPr>
            </w:pPr>
            <w:r w:rsidRPr="00AB3EB7">
              <w:rPr>
                <w:rFonts w:ascii="Times New Roman" w:eastAsia="Times New Roman" w:hAnsi="Times New Roman" w:cs="Times New Roman"/>
                <w:color w:val="000000"/>
                <w:sz w:val="28"/>
                <w:szCs w:val="28"/>
                <w:lang w:val="uk-UA" w:eastAsia="uk-UA"/>
              </w:rPr>
              <w:t>- проведення муніципального конкурсу ідей (у форматі хакатону) для вирішення проблем територіальної громади.</w:t>
            </w:r>
          </w:p>
        </w:tc>
      </w:tr>
    </w:tbl>
    <w:p w:rsidR="001F1B12" w:rsidRPr="00AB3EB7" w:rsidRDefault="001F1B12" w:rsidP="00AB3EB7">
      <w:pPr>
        <w:jc w:val="center"/>
        <w:rPr>
          <w:rFonts w:ascii="Times New Roman" w:eastAsia="Times New Roman" w:hAnsi="Times New Roman" w:cs="Times New Roman"/>
          <w:b/>
          <w:sz w:val="28"/>
          <w:szCs w:val="28"/>
          <w:lang w:val="uk-UA"/>
        </w:rPr>
      </w:pPr>
    </w:p>
    <w:p w:rsidR="00671273" w:rsidRDefault="00671273" w:rsidP="001F1B12">
      <w:pPr>
        <w:spacing w:before="240" w:after="240"/>
        <w:rPr>
          <w:rFonts w:ascii="Times New Roman" w:eastAsia="Times New Roman" w:hAnsi="Times New Roman" w:cs="Times New Roman"/>
          <w:b/>
          <w:sz w:val="28"/>
          <w:szCs w:val="28"/>
          <w:lang w:val="ru-RU"/>
        </w:rPr>
        <w:sectPr w:rsidR="00671273" w:rsidSect="00AB3EB7">
          <w:pgSz w:w="11910" w:h="16840"/>
          <w:pgMar w:top="1135" w:right="711" w:bottom="1276" w:left="1418" w:header="709" w:footer="709" w:gutter="0"/>
          <w:cols w:space="720"/>
        </w:sectPr>
      </w:pPr>
    </w:p>
    <w:p w:rsidR="001F1B12" w:rsidRDefault="001F1B12" w:rsidP="001F1B12">
      <w:pPr>
        <w:spacing w:before="240" w:after="240"/>
        <w:rPr>
          <w:rFonts w:ascii="Times New Roman" w:eastAsia="Times New Roman" w:hAnsi="Times New Roman" w:cs="Times New Roman"/>
          <w:b/>
          <w:sz w:val="28"/>
          <w:szCs w:val="28"/>
          <w:lang w:val="ru-RU"/>
        </w:rPr>
      </w:pPr>
      <w:r w:rsidRPr="001F1B12">
        <w:rPr>
          <w:rFonts w:ascii="Times New Roman" w:eastAsia="Times New Roman" w:hAnsi="Times New Roman" w:cs="Times New Roman"/>
          <w:b/>
          <w:sz w:val="28"/>
          <w:szCs w:val="28"/>
          <w:lang w:val="ru-RU"/>
        </w:rPr>
        <w:lastRenderedPageBreak/>
        <w:t xml:space="preserve">1.7. Напрями діяльності та заходи /проекти цільової програми </w:t>
      </w:r>
    </w:p>
    <w:tbl>
      <w:tblPr>
        <w:tblW w:w="14879" w:type="dxa"/>
        <w:tblLayout w:type="fixed"/>
        <w:tblLook w:val="04A0" w:firstRow="1" w:lastRow="0" w:firstColumn="1" w:lastColumn="0" w:noHBand="0" w:noVBand="1"/>
      </w:tblPr>
      <w:tblGrid>
        <w:gridCol w:w="616"/>
        <w:gridCol w:w="1506"/>
        <w:gridCol w:w="1134"/>
        <w:gridCol w:w="1417"/>
        <w:gridCol w:w="1134"/>
        <w:gridCol w:w="1134"/>
        <w:gridCol w:w="992"/>
        <w:gridCol w:w="993"/>
        <w:gridCol w:w="992"/>
        <w:gridCol w:w="991"/>
        <w:gridCol w:w="710"/>
        <w:gridCol w:w="850"/>
        <w:gridCol w:w="851"/>
        <w:gridCol w:w="1559"/>
      </w:tblGrid>
      <w:tr w:rsidR="0040412D" w:rsidRPr="003F6E47" w:rsidTr="006017D0">
        <w:trPr>
          <w:trHeight w:val="1270"/>
        </w:trPr>
        <w:tc>
          <w:tcPr>
            <w:tcW w:w="616" w:type="dxa"/>
            <w:vMerge w:val="restart"/>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Назва напряму діяльності (пріоритетні завдання)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Термін виконання заходу/</w:t>
            </w:r>
            <w:r w:rsidRPr="003F6E47">
              <w:rPr>
                <w:rFonts w:ascii="Times New Roman" w:eastAsia="Times New Roman" w:hAnsi="Times New Roman" w:cs="Times New Roman"/>
                <w:b/>
                <w:bCs/>
                <w:color w:val="000000"/>
                <w:sz w:val="18"/>
                <w:szCs w:val="18"/>
                <w:lang w:val="uk-UA" w:eastAsia="uk-UA"/>
              </w:rPr>
              <w:br/>
              <w:t>проекту, з розбивкою по роках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Виконавці</w:t>
            </w:r>
          </w:p>
        </w:tc>
        <w:tc>
          <w:tcPr>
            <w:tcW w:w="1134" w:type="dxa"/>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Джерела фінансування</w:t>
            </w:r>
          </w:p>
        </w:tc>
        <w:tc>
          <w:tcPr>
            <w:tcW w:w="2126" w:type="dxa"/>
            <w:gridSpan w:val="2"/>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Фінансування, всього, тис. грн</w:t>
            </w:r>
          </w:p>
        </w:tc>
        <w:tc>
          <w:tcPr>
            <w:tcW w:w="5387" w:type="dxa"/>
            <w:gridSpan w:val="6"/>
            <w:tcBorders>
              <w:top w:val="single" w:sz="4" w:space="0" w:color="000000"/>
              <w:left w:val="single" w:sz="4" w:space="0" w:color="000000"/>
              <w:bottom w:val="single" w:sz="4" w:space="0" w:color="000000"/>
              <w:right w:val="single" w:sz="4" w:space="0" w:color="000000"/>
            </w:tcBorders>
            <w:shd w:val="clear" w:color="F2F2F2" w:fill="F2F2F2"/>
            <w:vAlign w:val="center"/>
            <w:hideMark/>
          </w:tcPr>
          <w:p w:rsidR="0040412D" w:rsidRPr="003F6E47" w:rsidRDefault="0040412D"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Фінансування</w:t>
            </w:r>
            <w:r w:rsidRPr="003F6E47">
              <w:rPr>
                <w:rFonts w:ascii="Times New Roman" w:eastAsia="Times New Roman" w:hAnsi="Times New Roman" w:cs="Times New Roman"/>
                <w:b/>
                <w:bCs/>
                <w:color w:val="000000"/>
                <w:sz w:val="18"/>
                <w:szCs w:val="18"/>
                <w:lang w:val="uk-UA" w:eastAsia="uk-UA"/>
              </w:rPr>
              <w:br/>
              <w:t>в розрізі років реалізації програми, тис.грн</w:t>
            </w:r>
          </w:p>
        </w:tc>
        <w:tc>
          <w:tcPr>
            <w:tcW w:w="1559" w:type="dxa"/>
            <w:tcBorders>
              <w:top w:val="single" w:sz="4" w:space="0" w:color="000000"/>
              <w:left w:val="nil"/>
              <w:right w:val="single" w:sz="4" w:space="0" w:color="000000"/>
            </w:tcBorders>
            <w:shd w:val="clear" w:color="FFFFFF" w:fill="FFFFFF"/>
            <w:vAlign w:val="bottom"/>
            <w:hideMark/>
          </w:tcPr>
          <w:p w:rsidR="0040412D" w:rsidRPr="003F6E47" w:rsidRDefault="0040412D"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Очікувані результати</w:t>
            </w:r>
          </w:p>
          <w:p w:rsidR="0040412D" w:rsidRPr="003F6E47" w:rsidRDefault="0040412D"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3F6E47">
        <w:trPr>
          <w:trHeight w:val="285"/>
        </w:trPr>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p>
        </w:tc>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p>
        </w:tc>
        <w:tc>
          <w:tcPr>
            <w:tcW w:w="1985" w:type="dxa"/>
            <w:gridSpan w:val="2"/>
            <w:tcBorders>
              <w:top w:val="single" w:sz="4" w:space="0" w:color="000000"/>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2021</w:t>
            </w:r>
          </w:p>
        </w:tc>
        <w:tc>
          <w:tcPr>
            <w:tcW w:w="1701" w:type="dxa"/>
            <w:gridSpan w:val="2"/>
            <w:tcBorders>
              <w:top w:val="single" w:sz="4" w:space="0" w:color="000000"/>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2022</w:t>
            </w:r>
          </w:p>
        </w:tc>
        <w:tc>
          <w:tcPr>
            <w:tcW w:w="1701" w:type="dxa"/>
            <w:gridSpan w:val="2"/>
            <w:tcBorders>
              <w:top w:val="single" w:sz="4" w:space="0" w:color="000000"/>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2023</w:t>
            </w:r>
          </w:p>
        </w:tc>
        <w:tc>
          <w:tcPr>
            <w:tcW w:w="1559" w:type="dxa"/>
            <w:tcBorders>
              <w:top w:val="nil"/>
              <w:left w:val="nil"/>
              <w:bottom w:val="single" w:sz="4" w:space="0" w:color="000000"/>
              <w:right w:val="single" w:sz="4" w:space="0" w:color="000000"/>
            </w:tcBorders>
            <w:shd w:val="clear" w:color="FFFFFF" w:fill="FFFFFF"/>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3F6E47">
        <w:trPr>
          <w:trHeight w:val="480"/>
        </w:trPr>
        <w:tc>
          <w:tcPr>
            <w:tcW w:w="616" w:type="dxa"/>
            <w:tcBorders>
              <w:top w:val="nil"/>
              <w:left w:val="single" w:sz="4" w:space="0" w:color="000000"/>
              <w:bottom w:val="single" w:sz="4" w:space="0" w:color="000000"/>
              <w:right w:val="single" w:sz="4" w:space="0" w:color="000000"/>
            </w:tcBorders>
            <w:shd w:val="clear" w:color="F2F2F2" w:fill="F2F2F2"/>
            <w:vAlign w:val="center"/>
            <w:hideMark/>
          </w:tcPr>
          <w:p w:rsidR="003F6E47" w:rsidRPr="003F6E47" w:rsidRDefault="003F6E47" w:rsidP="003F6E47">
            <w:pPr>
              <w:widowControl/>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 </w:t>
            </w:r>
          </w:p>
        </w:tc>
        <w:tc>
          <w:tcPr>
            <w:tcW w:w="1506"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Times New Roman" w:eastAsia="Times New Roman" w:hAnsi="Times New Roman" w:cs="Times New Roman"/>
                <w:b/>
                <w:bCs/>
                <w:color w:val="000000"/>
                <w:sz w:val="18"/>
                <w:szCs w:val="18"/>
                <w:lang w:val="uk-UA" w:eastAsia="uk-UA"/>
              </w:rPr>
            </w:pPr>
            <w:r w:rsidRPr="003F6E47">
              <w:rPr>
                <w:rFonts w:ascii="Times New Roman" w:eastAsia="Times New Roman" w:hAnsi="Times New Roman" w:cs="Times New Roman"/>
                <w:b/>
                <w:bCs/>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Кошти бюджету ВМОТГ</w:t>
            </w:r>
          </w:p>
        </w:tc>
        <w:tc>
          <w:tcPr>
            <w:tcW w:w="992"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Інші джерела</w:t>
            </w:r>
          </w:p>
        </w:tc>
        <w:tc>
          <w:tcPr>
            <w:tcW w:w="993"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Кошти бюджету ВМОТГ</w:t>
            </w:r>
          </w:p>
        </w:tc>
        <w:tc>
          <w:tcPr>
            <w:tcW w:w="992"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Інші джерела</w:t>
            </w:r>
          </w:p>
        </w:tc>
        <w:tc>
          <w:tcPr>
            <w:tcW w:w="991"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Кошти бюджету ВМОТГ</w:t>
            </w:r>
          </w:p>
        </w:tc>
        <w:tc>
          <w:tcPr>
            <w:tcW w:w="710"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Інші джерела</w:t>
            </w:r>
          </w:p>
        </w:tc>
        <w:tc>
          <w:tcPr>
            <w:tcW w:w="850"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Кошти бюджету ВМОТГ</w:t>
            </w:r>
          </w:p>
        </w:tc>
        <w:tc>
          <w:tcPr>
            <w:tcW w:w="851" w:type="dxa"/>
            <w:tcBorders>
              <w:top w:val="nil"/>
              <w:left w:val="nil"/>
              <w:bottom w:val="single" w:sz="4" w:space="0" w:color="000000"/>
              <w:right w:val="single" w:sz="4" w:space="0" w:color="000000"/>
            </w:tcBorders>
            <w:shd w:val="clear" w:color="F2F2F2" w:fill="F2F2F2"/>
            <w:vAlign w:val="center"/>
            <w:hideMark/>
          </w:tcPr>
          <w:p w:rsidR="003F6E47" w:rsidRPr="003F6E47" w:rsidRDefault="003F6E47" w:rsidP="003F6E47">
            <w:pPr>
              <w:widowControl/>
              <w:jc w:val="center"/>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Інші джерела</w:t>
            </w:r>
          </w:p>
        </w:tc>
        <w:tc>
          <w:tcPr>
            <w:tcW w:w="1559" w:type="dxa"/>
            <w:tcBorders>
              <w:top w:val="nil"/>
              <w:left w:val="nil"/>
              <w:bottom w:val="single" w:sz="4" w:space="0" w:color="000000"/>
              <w:right w:val="single" w:sz="4" w:space="0" w:color="000000"/>
            </w:tcBorders>
            <w:shd w:val="clear" w:color="FFFFFF" w:fill="FFFFFF"/>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3F6E47">
        <w:trPr>
          <w:trHeight w:val="300"/>
        </w:trPr>
        <w:tc>
          <w:tcPr>
            <w:tcW w:w="616" w:type="dxa"/>
            <w:tcBorders>
              <w:top w:val="nil"/>
              <w:left w:val="single" w:sz="4" w:space="0" w:color="000000"/>
              <w:bottom w:val="single" w:sz="4" w:space="0" w:color="000000"/>
              <w:right w:val="single" w:sz="4" w:space="0" w:color="000000"/>
            </w:tcBorders>
            <w:shd w:val="clear" w:color="00B0F0" w:fill="00B0F0"/>
            <w:noWrap/>
            <w:vAlign w:val="center"/>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w:t>
            </w:r>
          </w:p>
        </w:tc>
        <w:tc>
          <w:tcPr>
            <w:tcW w:w="1506"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Маркетинг дестинації</w:t>
            </w:r>
          </w:p>
        </w:tc>
        <w:tc>
          <w:tcPr>
            <w:tcW w:w="1134"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4 699,00</w:t>
            </w:r>
          </w:p>
        </w:tc>
        <w:tc>
          <w:tcPr>
            <w:tcW w:w="992"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1 348,00</w:t>
            </w:r>
          </w:p>
        </w:tc>
        <w:tc>
          <w:tcPr>
            <w:tcW w:w="992"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0,00</w:t>
            </w:r>
          </w:p>
        </w:tc>
        <w:tc>
          <w:tcPr>
            <w:tcW w:w="991"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1 679,00</w:t>
            </w:r>
          </w:p>
        </w:tc>
        <w:tc>
          <w:tcPr>
            <w:tcW w:w="710"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0,00</w:t>
            </w:r>
          </w:p>
        </w:tc>
        <w:tc>
          <w:tcPr>
            <w:tcW w:w="850"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1 672,00</w:t>
            </w:r>
          </w:p>
        </w:tc>
        <w:tc>
          <w:tcPr>
            <w:tcW w:w="851"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0,00</w:t>
            </w:r>
          </w:p>
        </w:tc>
        <w:tc>
          <w:tcPr>
            <w:tcW w:w="1559" w:type="dxa"/>
            <w:tcBorders>
              <w:top w:val="nil"/>
              <w:left w:val="nil"/>
              <w:bottom w:val="single" w:sz="4" w:space="0" w:color="000000"/>
              <w:right w:val="single" w:sz="4" w:space="0" w:color="000000"/>
            </w:tcBorders>
            <w:shd w:val="clear" w:color="00B0F0" w:fill="00B0F0"/>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3F6E47">
        <w:trPr>
          <w:trHeight w:val="144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Цифрове просування дестинації через офіційний туристичний портал, сторінки в соцмережах і медіаресурси</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442,00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100,00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214,00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128,00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Вінниця як туристична дестинація присутня на онлайн-ресурсах та в медійному просторі цільових аудиторій. Забезпечено постійне функціонування офіційного туристичного порталу, збільшилася кількість відвідувачів сайту та підписників в соцмережах.</w:t>
            </w:r>
          </w:p>
        </w:tc>
      </w:tr>
      <w:tr w:rsidR="003F6E47" w:rsidRPr="003F6E47" w:rsidTr="003F6E47">
        <w:trPr>
          <w:trHeight w:val="96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1.2</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xml:space="preserve">Створення й розповсюдження промоматеріалів, контенту, носіїв та видань про </w:t>
            </w:r>
            <w:r w:rsidRPr="003F6E47">
              <w:rPr>
                <w:rFonts w:ascii="Calibri" w:eastAsia="Times New Roman" w:hAnsi="Calibri" w:cs="Calibri"/>
                <w:b/>
                <w:bCs/>
                <w:i/>
                <w:iCs/>
                <w:color w:val="000000"/>
                <w:sz w:val="18"/>
                <w:szCs w:val="18"/>
                <w:lang w:val="uk-UA" w:eastAsia="uk-UA"/>
              </w:rPr>
              <w:lastRenderedPageBreak/>
              <w:t>Вінницю та регіон</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lastRenderedPageBreak/>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531,00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168,00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177,00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186,00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xml:space="preserve">Створено та розповсюджено інформаційні друковані та електронні матеріали і контент, </w:t>
            </w:r>
            <w:r w:rsidRPr="003F6E47">
              <w:rPr>
                <w:rFonts w:ascii="Calibri" w:eastAsia="Times New Roman" w:hAnsi="Calibri" w:cs="Calibri"/>
                <w:color w:val="000000"/>
                <w:sz w:val="18"/>
                <w:szCs w:val="18"/>
                <w:lang w:val="uk-UA" w:eastAsia="uk-UA"/>
              </w:rPr>
              <w:lastRenderedPageBreak/>
              <w:t>сувенірну продукцію та промоційні носії, що відображають туристичний потенціал територіальної громади.</w:t>
            </w:r>
          </w:p>
        </w:tc>
      </w:tr>
      <w:tr w:rsidR="003F6E47" w:rsidRPr="003F6E47" w:rsidTr="0040412D">
        <w:trPr>
          <w:trHeight w:val="960"/>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lastRenderedPageBreak/>
              <w:t>1.3</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Участь у туристичних виставках і спеціалізованих подіях в Україні та за кордоном</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1 482,00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400,00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527,00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555,00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Щороку Вінниця представлена на міжнародних туристичних виставках та на на спеціалізованих подіях у цільових регіонах та країнах.</w:t>
            </w:r>
          </w:p>
        </w:tc>
      </w:tr>
      <w:tr w:rsidR="003F6E47" w:rsidRPr="003F6E47" w:rsidTr="0040412D">
        <w:trPr>
          <w:trHeight w:val="1215"/>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1.4</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Проведення та аналіз маркетингових досліджень і опитувань відвідувачів територіальної громади, моніторинг діяльності суб'єктів у галузі туризму</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480,00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160,00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170,00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Досліджено туристичну привабливість територіальної громади, наявна статистична інформація про кількість туристів, їх потреби та вподобання. Визначено обсяг надходжень до бюджету ВМОТГ від суб’єктів туристичної діяльності.</w:t>
            </w:r>
          </w:p>
        </w:tc>
      </w:tr>
      <w:tr w:rsidR="003F6E47" w:rsidRPr="003F6E47" w:rsidTr="0040412D">
        <w:trPr>
          <w:trHeight w:val="1680"/>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1.5</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xml:space="preserve">Прийняття та обслуговування делегацій та представників туристичної галузі, органів влади та місцевого </w:t>
            </w:r>
            <w:r w:rsidRPr="003F6E47">
              <w:rPr>
                <w:rFonts w:ascii="Calibri" w:eastAsia="Times New Roman" w:hAnsi="Calibri" w:cs="Calibri"/>
                <w:b/>
                <w:bCs/>
                <w:i/>
                <w:iCs/>
                <w:color w:val="000000"/>
                <w:sz w:val="18"/>
                <w:szCs w:val="18"/>
                <w:lang w:val="uk-UA" w:eastAsia="uk-UA"/>
              </w:rPr>
              <w:lastRenderedPageBreak/>
              <w:t>самоврядування, ділового, культурного, дипломатичного й громадського секторів, засобів масової інформації з України та з-за кордону.</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lastRenderedPageBreak/>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1 108,00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369,00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389,00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xml:space="preserve">Проведено інформаційні тури для туристичних операторів, блогерів та представників ЗМІ з метою </w:t>
            </w:r>
            <w:r w:rsidRPr="003F6E47">
              <w:rPr>
                <w:rFonts w:ascii="Calibri" w:eastAsia="Times New Roman" w:hAnsi="Calibri" w:cs="Calibri"/>
                <w:color w:val="000000"/>
                <w:sz w:val="18"/>
                <w:szCs w:val="18"/>
                <w:lang w:val="uk-UA" w:eastAsia="uk-UA"/>
              </w:rPr>
              <w:lastRenderedPageBreak/>
              <w:t>популяризації дестинації та збільшення потоку туристів. Офіційним делегаціям забезпечено екскурсії з професійними гідами та сувенірну продукцію, що відповідає загальноприйнятим уявленням про гостинність.</w:t>
            </w:r>
          </w:p>
        </w:tc>
      </w:tr>
      <w:tr w:rsidR="003F6E47" w:rsidRPr="003F6E47" w:rsidTr="0040412D">
        <w:trPr>
          <w:trHeight w:val="1200"/>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lastRenderedPageBreak/>
              <w:t>1.6</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Використання локальних подій у цілях маркетингу, просування бренду й суббрендів та підсилення туристичного іміджу Вінницької міської 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474,00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158,00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166,00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Проведено заходи з підсилення туристичного іміджу Вінницької міської ОТГ і розповсюджено промоматеріали з метою поширення інформації та візуального сприйняття бренду міста мешканцями та гостями територіальної громади.</w:t>
            </w:r>
          </w:p>
        </w:tc>
      </w:tr>
      <w:tr w:rsidR="003F6E47" w:rsidRPr="003F6E47" w:rsidTr="0040412D">
        <w:trPr>
          <w:trHeight w:val="720"/>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1.7</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Сприяння промоції аеропорту Вінниці</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КП «Аеропорт Вінниця»</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182,00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74,00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78,00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xml:space="preserve">Туристи знають про наявність на території Вінницької міської ОТГ аеропорту та існуючі рейси, збільшено </w:t>
            </w:r>
            <w:r w:rsidRPr="003F6E47">
              <w:rPr>
                <w:rFonts w:ascii="Calibri" w:eastAsia="Times New Roman" w:hAnsi="Calibri" w:cs="Calibri"/>
                <w:color w:val="000000"/>
                <w:sz w:val="18"/>
                <w:szCs w:val="18"/>
                <w:lang w:val="uk-UA" w:eastAsia="uk-UA"/>
              </w:rPr>
              <w:lastRenderedPageBreak/>
              <w:t>пасажиропотік аеропорту.</w:t>
            </w:r>
          </w:p>
        </w:tc>
      </w:tr>
      <w:tr w:rsidR="003F6E47" w:rsidRPr="003F6E47" w:rsidTr="003F6E47">
        <w:trPr>
          <w:trHeight w:val="300"/>
        </w:trPr>
        <w:tc>
          <w:tcPr>
            <w:tcW w:w="616" w:type="dxa"/>
            <w:tcBorders>
              <w:top w:val="nil"/>
              <w:left w:val="single" w:sz="4" w:space="0" w:color="000000"/>
              <w:bottom w:val="single" w:sz="4" w:space="0" w:color="000000"/>
              <w:right w:val="single" w:sz="4" w:space="0" w:color="000000"/>
            </w:tcBorders>
            <w:shd w:val="clear" w:color="00B0F0" w:fill="00B0F0"/>
            <w:noWrap/>
            <w:vAlign w:val="center"/>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lastRenderedPageBreak/>
              <w:t>2.</w:t>
            </w:r>
          </w:p>
        </w:tc>
        <w:tc>
          <w:tcPr>
            <w:tcW w:w="1506"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Формування туристичних продуктів</w:t>
            </w:r>
          </w:p>
        </w:tc>
        <w:tc>
          <w:tcPr>
            <w:tcW w:w="1134"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2 370,00</w:t>
            </w:r>
          </w:p>
        </w:tc>
        <w:tc>
          <w:tcPr>
            <w:tcW w:w="992"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1 500,00</w:t>
            </w:r>
          </w:p>
        </w:tc>
        <w:tc>
          <w:tcPr>
            <w:tcW w:w="993"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385,00</w:t>
            </w:r>
          </w:p>
        </w:tc>
        <w:tc>
          <w:tcPr>
            <w:tcW w:w="992"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500,00</w:t>
            </w:r>
          </w:p>
        </w:tc>
        <w:tc>
          <w:tcPr>
            <w:tcW w:w="991"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817,00</w:t>
            </w:r>
          </w:p>
        </w:tc>
        <w:tc>
          <w:tcPr>
            <w:tcW w:w="710"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500,00</w:t>
            </w:r>
          </w:p>
        </w:tc>
        <w:tc>
          <w:tcPr>
            <w:tcW w:w="850"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1 168,00</w:t>
            </w:r>
          </w:p>
        </w:tc>
        <w:tc>
          <w:tcPr>
            <w:tcW w:w="851"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500,00</w:t>
            </w:r>
          </w:p>
        </w:tc>
        <w:tc>
          <w:tcPr>
            <w:tcW w:w="1559" w:type="dxa"/>
            <w:tcBorders>
              <w:top w:val="nil"/>
              <w:left w:val="nil"/>
              <w:bottom w:val="single" w:sz="4" w:space="0" w:color="000000"/>
              <w:right w:val="single" w:sz="4" w:space="0" w:color="000000"/>
            </w:tcBorders>
            <w:shd w:val="clear" w:color="00B0F0" w:fill="00B0F0"/>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3F6E47">
        <w:trPr>
          <w:trHeight w:val="285"/>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 xml:space="preserve">2.1 </w:t>
            </w:r>
          </w:p>
        </w:tc>
        <w:tc>
          <w:tcPr>
            <w:tcW w:w="1506" w:type="dxa"/>
            <w:tcBorders>
              <w:top w:val="nil"/>
              <w:left w:val="nil"/>
              <w:bottom w:val="single" w:sz="4" w:space="0" w:color="000000"/>
              <w:right w:val="single" w:sz="4" w:space="0" w:color="000000"/>
            </w:tcBorders>
            <w:shd w:val="clear" w:color="auto" w:fill="auto"/>
            <w:vAlign w:val="bottom"/>
            <w:hideMark/>
          </w:tcPr>
          <w:p w:rsidR="003F6E47" w:rsidRPr="003F6E47" w:rsidRDefault="003F6E47" w:rsidP="003F6E47">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Культурно-пізнавальний туризм</w:t>
            </w:r>
          </w:p>
        </w:tc>
        <w:tc>
          <w:tcPr>
            <w:tcW w:w="1134" w:type="dxa"/>
            <w:tcBorders>
              <w:top w:val="nil"/>
              <w:left w:val="nil"/>
              <w:bottom w:val="single" w:sz="4" w:space="0" w:color="000000"/>
              <w:right w:val="single" w:sz="4" w:space="0" w:color="000000"/>
            </w:tcBorders>
            <w:shd w:val="clear" w:color="auto" w:fill="auto"/>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auto" w:fill="auto"/>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3F6E47">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1200"/>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Arial" w:eastAsia="Times New Roman" w:hAnsi="Arial" w:cs="Arial"/>
                <w:color w:val="000000"/>
                <w:sz w:val="18"/>
                <w:szCs w:val="18"/>
                <w:lang w:val="uk-UA" w:eastAsia="uk-UA"/>
              </w:rPr>
            </w:pPr>
            <w:r w:rsidRPr="003F6E47">
              <w:rPr>
                <w:rFonts w:ascii="Arial" w:eastAsia="Times New Roman" w:hAnsi="Arial" w:cs="Arial"/>
                <w:color w:val="000000"/>
                <w:sz w:val="18"/>
                <w:szCs w:val="18"/>
                <w:lang w:val="uk-UA" w:eastAsia="uk-UA"/>
              </w:rPr>
              <w:t>2.1.1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Стимулювання розвитку подій, маршрутів та осередків, пов'язаних із історичними постатями, визначними подіями та культурною спадщиною Вінницької міської 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 гранти УКФ</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568,00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1 500,00</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135,00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500,00</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189,00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500,00</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244,00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500,00</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Організовано культурно-пізнавальні події, заходи, створено нові екскурсійні маршрути та об'єкти, пов'язані з історичними постатями та культурною спадщиною Вінницької міської ОТГ</w:t>
            </w:r>
          </w:p>
        </w:tc>
      </w:tr>
      <w:tr w:rsidR="003F6E47" w:rsidRPr="003F6E47" w:rsidTr="0040412D">
        <w:trPr>
          <w:trHeight w:val="285"/>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2.2</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Гастрономічний туризм</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720"/>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2.2.1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 xml:space="preserve">Сприяння створенню, організації та проведенню гастрономічних фестивалів, заходів та маршрутів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1 030,00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200,00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350,00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480,00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Проведено тематичні гастрономічні фестивалі, сформовано нові маршрути та продукти для розвитку гастрономічного туризму.</w:t>
            </w:r>
          </w:p>
        </w:tc>
      </w:tr>
      <w:tr w:rsidR="003F6E47" w:rsidRPr="003F6E47" w:rsidTr="0040412D">
        <w:trPr>
          <w:trHeight w:val="315"/>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2.3</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Діловий і освітній туризм</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885"/>
        </w:trPr>
        <w:tc>
          <w:tcPr>
            <w:tcW w:w="616" w:type="dxa"/>
            <w:tcBorders>
              <w:top w:val="nil"/>
              <w:left w:val="single" w:sz="4" w:space="0" w:color="000000"/>
              <w:bottom w:val="single" w:sz="4" w:space="0" w:color="000000"/>
              <w:right w:val="single" w:sz="4" w:space="0" w:color="000000"/>
            </w:tcBorders>
            <w:shd w:val="clear" w:color="auto" w:fill="auto"/>
            <w:noWrap/>
            <w:vAlign w:val="center"/>
            <w:hideMark/>
          </w:tcPr>
          <w:p w:rsidR="003F6E47" w:rsidRPr="003F6E47" w:rsidRDefault="003F6E47" w:rsidP="003F6E47">
            <w:pPr>
              <w:widowControl/>
              <w:rPr>
                <w:rFonts w:ascii="Arial" w:eastAsia="Times New Roman" w:hAnsi="Arial" w:cs="Arial"/>
                <w:color w:val="000000"/>
                <w:sz w:val="18"/>
                <w:szCs w:val="18"/>
                <w:lang w:val="uk-UA" w:eastAsia="uk-UA"/>
              </w:rPr>
            </w:pPr>
            <w:r w:rsidRPr="003F6E47">
              <w:rPr>
                <w:rFonts w:ascii="Arial" w:eastAsia="Times New Roman" w:hAnsi="Arial" w:cs="Arial"/>
                <w:color w:val="000000"/>
                <w:sz w:val="18"/>
                <w:szCs w:val="18"/>
                <w:lang w:val="uk-UA" w:eastAsia="uk-UA"/>
              </w:rPr>
              <w:t>2.3.1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 xml:space="preserve">Заходи з розвитку ділового й освітнього туризму, створення і </w:t>
            </w:r>
            <w:r w:rsidRPr="003F6E47">
              <w:rPr>
                <w:rFonts w:ascii="Arial" w:eastAsia="Times New Roman" w:hAnsi="Arial" w:cs="Arial"/>
                <w:i/>
                <w:iCs/>
                <w:color w:val="000000"/>
                <w:sz w:val="18"/>
                <w:szCs w:val="18"/>
                <w:lang w:val="uk-UA" w:eastAsia="uk-UA"/>
              </w:rPr>
              <w:lastRenderedPageBreak/>
              <w:t>функціонування міського конференц-бюро</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lastRenderedPageBreak/>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322,00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158,00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164,00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xml:space="preserve">Активізовано розвиток ділового туризму завдяки створенню міського </w:t>
            </w:r>
            <w:r w:rsidRPr="003F6E47">
              <w:rPr>
                <w:rFonts w:ascii="Calibri" w:eastAsia="Times New Roman" w:hAnsi="Calibri" w:cs="Calibri"/>
                <w:color w:val="000000"/>
                <w:sz w:val="18"/>
                <w:szCs w:val="18"/>
                <w:lang w:val="uk-UA" w:eastAsia="uk-UA"/>
              </w:rPr>
              <w:lastRenderedPageBreak/>
              <w:t>конференц-бюро, Meeting Planner Guide, календаря бізнес-подій.</w:t>
            </w:r>
          </w:p>
        </w:tc>
      </w:tr>
      <w:tr w:rsidR="003F6E47" w:rsidRPr="003F6E47" w:rsidTr="0040412D">
        <w:trPr>
          <w:trHeight w:val="315"/>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lastRenderedPageBreak/>
              <w:t>2.4</w:t>
            </w:r>
          </w:p>
        </w:tc>
        <w:tc>
          <w:tcPr>
            <w:tcW w:w="1506"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Активний і екологічний туризм</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87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2.4.1</w:t>
            </w:r>
          </w:p>
        </w:tc>
        <w:tc>
          <w:tcPr>
            <w:tcW w:w="1506"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Заходи з використання потенціалу природних зон територіальної громади для розвитку екологічного та активного туризму</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300,00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120,00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130,00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Потенціал природних зон територіальної громади використовується для підвищення туристичної привабливаості дестинації: створено оглядові майданчики, інтерактивні стенди та промарковані пішохідні й велосипедні маршрути. Організовано екскурсії для ознайомлення з флорою і фауною міських та приміських екосистем.</w:t>
            </w:r>
          </w:p>
        </w:tc>
      </w:tr>
      <w:tr w:rsidR="003F6E47" w:rsidRPr="003F6E47" w:rsidTr="0040412D">
        <w:trPr>
          <w:trHeight w:val="315"/>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2.5</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Креативні туристичні продукти</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645"/>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Arial" w:eastAsia="Times New Roman" w:hAnsi="Arial" w:cs="Arial"/>
                <w:color w:val="000000"/>
                <w:sz w:val="18"/>
                <w:szCs w:val="18"/>
                <w:lang w:val="uk-UA" w:eastAsia="uk-UA"/>
              </w:rPr>
            </w:pPr>
            <w:r w:rsidRPr="003F6E47">
              <w:rPr>
                <w:rFonts w:ascii="Arial" w:eastAsia="Times New Roman" w:hAnsi="Arial" w:cs="Arial"/>
                <w:color w:val="000000"/>
                <w:sz w:val="18"/>
                <w:szCs w:val="18"/>
                <w:lang w:val="uk-UA" w:eastAsia="uk-UA"/>
              </w:rPr>
              <w:t>2.5.1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i/>
                <w:iCs/>
                <w:color w:val="000000"/>
                <w:sz w:val="18"/>
                <w:szCs w:val="18"/>
                <w:lang w:val="uk-UA" w:eastAsia="uk-UA"/>
              </w:rPr>
            </w:pPr>
            <w:r w:rsidRPr="003F6E47">
              <w:rPr>
                <w:rFonts w:ascii="Arial" w:eastAsia="Times New Roman" w:hAnsi="Arial" w:cs="Arial"/>
                <w:i/>
                <w:iCs/>
                <w:color w:val="000000"/>
                <w:sz w:val="18"/>
                <w:szCs w:val="18"/>
                <w:lang w:val="uk-UA" w:eastAsia="uk-UA"/>
              </w:rPr>
              <w:t xml:space="preserve">Формування креативних туристичних продуктів (фотозони, інсталяції, </w:t>
            </w:r>
            <w:r w:rsidRPr="003F6E47">
              <w:rPr>
                <w:rFonts w:ascii="Arial" w:eastAsia="Times New Roman" w:hAnsi="Arial" w:cs="Arial"/>
                <w:i/>
                <w:iCs/>
                <w:color w:val="000000"/>
                <w:sz w:val="18"/>
                <w:szCs w:val="18"/>
                <w:lang w:val="uk-UA" w:eastAsia="uk-UA"/>
              </w:rPr>
              <w:lastRenderedPageBreak/>
              <w:t>фестивалі тощо)</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lastRenderedPageBreak/>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xml:space="preserve">Сформовано креативні туристичні продукти, зокрема в стилі поп-культури, коміксів та </w:t>
            </w:r>
            <w:r w:rsidRPr="003F6E47">
              <w:rPr>
                <w:rFonts w:ascii="Calibri" w:eastAsia="Times New Roman" w:hAnsi="Calibri" w:cs="Calibri"/>
                <w:color w:val="000000"/>
                <w:sz w:val="18"/>
                <w:szCs w:val="18"/>
                <w:lang w:val="uk-UA" w:eastAsia="uk-UA"/>
              </w:rPr>
              <w:lastRenderedPageBreak/>
              <w:t>адреналінових жанрів (екскурсії, фестивалі).</w:t>
            </w:r>
          </w:p>
        </w:tc>
      </w:tr>
      <w:tr w:rsidR="003F6E47" w:rsidRPr="003F6E47" w:rsidTr="003F6E47">
        <w:trPr>
          <w:trHeight w:val="315"/>
        </w:trPr>
        <w:tc>
          <w:tcPr>
            <w:tcW w:w="616" w:type="dxa"/>
            <w:tcBorders>
              <w:top w:val="nil"/>
              <w:left w:val="single" w:sz="4" w:space="0" w:color="000000"/>
              <w:bottom w:val="single" w:sz="4" w:space="0" w:color="000000"/>
              <w:right w:val="single" w:sz="4" w:space="0" w:color="000000"/>
            </w:tcBorders>
            <w:shd w:val="clear" w:color="00B0F0" w:fill="00B0F0"/>
            <w:noWrap/>
            <w:vAlign w:val="center"/>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lastRenderedPageBreak/>
              <w:t>3.</w:t>
            </w:r>
          </w:p>
        </w:tc>
        <w:tc>
          <w:tcPr>
            <w:tcW w:w="1506"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Розвиток туристичної інфраструктури</w:t>
            </w:r>
          </w:p>
        </w:tc>
        <w:tc>
          <w:tcPr>
            <w:tcW w:w="1134"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00B0F0" w:fill="00B0F0"/>
            <w:noWrap/>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4 099,00</w:t>
            </w:r>
          </w:p>
        </w:tc>
        <w:tc>
          <w:tcPr>
            <w:tcW w:w="992"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15 000,00</w:t>
            </w:r>
          </w:p>
        </w:tc>
        <w:tc>
          <w:tcPr>
            <w:tcW w:w="993"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1 430,00</w:t>
            </w:r>
          </w:p>
        </w:tc>
        <w:tc>
          <w:tcPr>
            <w:tcW w:w="992"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5 000,00</w:t>
            </w:r>
          </w:p>
        </w:tc>
        <w:tc>
          <w:tcPr>
            <w:tcW w:w="991"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1 303,00</w:t>
            </w:r>
          </w:p>
        </w:tc>
        <w:tc>
          <w:tcPr>
            <w:tcW w:w="710"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5 000,00</w:t>
            </w:r>
          </w:p>
        </w:tc>
        <w:tc>
          <w:tcPr>
            <w:tcW w:w="850"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1 366,00</w:t>
            </w:r>
          </w:p>
        </w:tc>
        <w:tc>
          <w:tcPr>
            <w:tcW w:w="851" w:type="dxa"/>
            <w:tcBorders>
              <w:top w:val="nil"/>
              <w:left w:val="nil"/>
              <w:bottom w:val="single" w:sz="4" w:space="0" w:color="000000"/>
              <w:right w:val="single" w:sz="4" w:space="0" w:color="000000"/>
            </w:tcBorders>
            <w:shd w:val="clear" w:color="00B0F0" w:fill="00B0F0"/>
            <w:noWrap/>
            <w:hideMark/>
          </w:tcPr>
          <w:p w:rsidR="003F6E47" w:rsidRPr="003F6E47" w:rsidRDefault="003F6E47" w:rsidP="003F6E47">
            <w:pPr>
              <w:widowControl/>
              <w:jc w:val="right"/>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5 000,00</w:t>
            </w:r>
          </w:p>
        </w:tc>
        <w:tc>
          <w:tcPr>
            <w:tcW w:w="1559" w:type="dxa"/>
            <w:tcBorders>
              <w:top w:val="nil"/>
              <w:left w:val="nil"/>
              <w:bottom w:val="single" w:sz="4" w:space="0" w:color="000000"/>
              <w:right w:val="single" w:sz="4" w:space="0" w:color="000000"/>
            </w:tcBorders>
            <w:shd w:val="clear" w:color="00B0F0" w:fill="00B0F0"/>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120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3.1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Підвищення рівня доступності туристичних об'єктів для маломобільних груп населення і туристів</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громадські організації людей з інвалідністю</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Грантові кошти (УКФ, ЄС, ООН)</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Створено об'ємні макети туристичних об'єктів для незрячих і слабозорих, забезпечено сервіси на туристичних об'єктах для нечуючих та незрячих. Покращено доступність об'єктів туристичної інфраструктури</w:t>
            </w:r>
          </w:p>
        </w:tc>
      </w:tr>
      <w:tr w:rsidR="003F6E47" w:rsidRPr="003F6E47" w:rsidTr="0040412D">
        <w:trPr>
          <w:trHeight w:val="120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3.2</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Розробка, затвердження і реалізація проекту «Територія SUN»</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громадські організації (за згодою)</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 грантові кошти (ЄС, УКФ)</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740,00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15 000,00</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530,00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5 000,00</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100,00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5 000,00</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110,00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5 000,00</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Розроблена і затверджена концепція розвитку території майнового комплексу за адресою вул. Маяковського, 247, ревіталізовано частину об'єктів, проведено ряд культурних, соціальних та туристичних заходів.</w:t>
            </w:r>
          </w:p>
        </w:tc>
      </w:tr>
      <w:tr w:rsidR="003F6E47" w:rsidRPr="003F6E47" w:rsidTr="0040412D">
        <w:trPr>
          <w:trHeight w:val="96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lastRenderedPageBreak/>
              <w:t>3.3</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 xml:space="preserve">Створення і забезпечення функціонування інформаційних центрів/пунктів у місцях перебування туристів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КП "Подільський туристично-інформаційний центр"</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 програми секторальної підтримки</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2 000,00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650,00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800,00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Створено та облаштовано туристичний хаб з подієвим майданчиком та коворкінгом, забезпечена повноцінна діяльність центрів/пунктів надання туристичної інформації</w:t>
            </w:r>
          </w:p>
        </w:tc>
      </w:tr>
      <w:tr w:rsidR="003F6E47" w:rsidRPr="003F6E47" w:rsidTr="0040412D">
        <w:trPr>
          <w:trHeight w:val="96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3.4</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Уніфікація й осучаснення туристичних сервісів, інформації та навігації у Вінницькій міській 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1 359,00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350,00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553,00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456,00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xml:space="preserve">Розроблена концепція туристичної навігації Вінницької міської ОТГ, у відповідності до якої оновлюється існуюча навігація та встановлюються нові її елементи. </w:t>
            </w:r>
          </w:p>
        </w:tc>
      </w:tr>
      <w:tr w:rsidR="003F6E47" w:rsidRPr="003F6E47" w:rsidTr="0040412D">
        <w:trPr>
          <w:trHeight w:val="120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3.5</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Перетворення музеїв у сучасні осередки приваблення та інформування туристів</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департамент культури ВМР, управління культури та мистецтв ВОДА</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Грантові кошти (УКФ, ЄС, ООН)</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Вдосконалена робота діючих та новостворених музейних локацій, виставкових залів, центрів дозвілля туристів відповідно до сучасних вимог та запитів. Збільшена кількість відвідувачів музеїв.</w:t>
            </w:r>
          </w:p>
        </w:tc>
      </w:tr>
      <w:tr w:rsidR="003F6E47" w:rsidRPr="003F6E47" w:rsidTr="0040412D">
        <w:trPr>
          <w:trHeight w:val="765"/>
        </w:trPr>
        <w:tc>
          <w:tcPr>
            <w:tcW w:w="616" w:type="dxa"/>
            <w:tcBorders>
              <w:top w:val="nil"/>
              <w:left w:val="single" w:sz="4" w:space="0" w:color="000000"/>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w:t>
            </w:r>
          </w:p>
        </w:tc>
        <w:tc>
          <w:tcPr>
            <w:tcW w:w="1506" w:type="dxa"/>
            <w:tcBorders>
              <w:top w:val="nil"/>
              <w:left w:val="nil"/>
              <w:bottom w:val="single" w:sz="4" w:space="0" w:color="000000"/>
              <w:right w:val="single" w:sz="4" w:space="0" w:color="000000"/>
            </w:tcBorders>
            <w:shd w:val="clear" w:color="00B0F0" w:fill="00B0F0"/>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xml:space="preserve">Поліпшення якості послуг, кадрового забезпечення та </w:t>
            </w:r>
            <w:r w:rsidRPr="003F6E47">
              <w:rPr>
                <w:rFonts w:ascii="Calibri" w:eastAsia="Times New Roman" w:hAnsi="Calibri" w:cs="Calibri"/>
                <w:b/>
                <w:bCs/>
                <w:color w:val="000000"/>
                <w:sz w:val="18"/>
                <w:szCs w:val="18"/>
                <w:lang w:val="uk-UA" w:eastAsia="uk-UA"/>
              </w:rPr>
              <w:lastRenderedPageBreak/>
              <w:t>комунікацій в сфері туризму</w:t>
            </w:r>
          </w:p>
        </w:tc>
        <w:tc>
          <w:tcPr>
            <w:tcW w:w="1134"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lastRenderedPageBreak/>
              <w:t> </w:t>
            </w:r>
          </w:p>
        </w:tc>
        <w:tc>
          <w:tcPr>
            <w:tcW w:w="1417"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831,00</w:t>
            </w:r>
          </w:p>
        </w:tc>
        <w:tc>
          <w:tcPr>
            <w:tcW w:w="992"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240,00</w:t>
            </w:r>
          </w:p>
        </w:tc>
        <w:tc>
          <w:tcPr>
            <w:tcW w:w="992"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0,00</w:t>
            </w:r>
          </w:p>
        </w:tc>
        <w:tc>
          <w:tcPr>
            <w:tcW w:w="991"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284,00</w:t>
            </w:r>
          </w:p>
        </w:tc>
        <w:tc>
          <w:tcPr>
            <w:tcW w:w="710"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0,00</w:t>
            </w:r>
          </w:p>
        </w:tc>
        <w:tc>
          <w:tcPr>
            <w:tcW w:w="850"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307,00</w:t>
            </w:r>
          </w:p>
        </w:tc>
        <w:tc>
          <w:tcPr>
            <w:tcW w:w="851" w:type="dxa"/>
            <w:tcBorders>
              <w:top w:val="nil"/>
              <w:left w:val="nil"/>
              <w:bottom w:val="single" w:sz="4" w:space="0" w:color="000000"/>
              <w:right w:val="single" w:sz="4" w:space="0" w:color="000000"/>
            </w:tcBorders>
            <w:shd w:val="clear" w:color="00B0F0" w:fill="00B0F0"/>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0,00</w:t>
            </w:r>
          </w:p>
        </w:tc>
        <w:tc>
          <w:tcPr>
            <w:tcW w:w="1559" w:type="dxa"/>
            <w:tcBorders>
              <w:top w:val="nil"/>
              <w:left w:val="nil"/>
              <w:bottom w:val="single" w:sz="4" w:space="0" w:color="000000"/>
              <w:right w:val="single" w:sz="4" w:space="0" w:color="000000"/>
            </w:tcBorders>
            <w:shd w:val="clear" w:color="00B0F0" w:fill="00B0F0"/>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r w:rsidR="003F6E47" w:rsidRPr="003F6E47" w:rsidTr="0040412D">
        <w:trPr>
          <w:trHeight w:val="72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4.1</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Реалізація заходів з навчання та підвищення кваліфікації працівників туристичної сфери</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280,00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70,00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100,00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110,00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Реалізовано заходи з підвищення кваліфікації гідів, персоналу сфери гостинності, працівників музейної сфери міста та інших учасників туристичного ринку.</w:t>
            </w:r>
          </w:p>
        </w:tc>
      </w:tr>
      <w:tr w:rsidR="003F6E47" w:rsidRPr="003F6E47" w:rsidTr="0040412D">
        <w:trPr>
          <w:trHeight w:val="1515"/>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4.2</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Проведення навчальних програм і заходів для розвитку та консолідації МСП в туризмі</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громадські організації (за згодою)</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498,00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155,00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166,00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177,00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Проведено навчальні програми, тренінги, бізнес-інтенсиви для вдосконалення діяльності МСП в туризмі, організовано зустрічі з представниками сфери гостинності</w:t>
            </w:r>
          </w:p>
        </w:tc>
      </w:tr>
      <w:tr w:rsidR="003F6E47" w:rsidRPr="003F6E47" w:rsidTr="0040412D">
        <w:trPr>
          <w:trHeight w:val="1365"/>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xml:space="preserve">4.3 </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 xml:space="preserve">Розширення співпраці з містами-побратимами і партнерськими містами та регіонами щодо реалізації культурних і туристичних проектів, розвиток туристичних обмінів </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 КП «Інститут розвитку міст»</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Не потребує фінансування</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Налагоджена комунікація з містами-побратимами та партнерськими містами, визначено напрямки співпраці та партнерські проекти у сфері туризму</w:t>
            </w:r>
          </w:p>
        </w:tc>
      </w:tr>
      <w:tr w:rsidR="003F6E47" w:rsidRPr="003F6E47" w:rsidTr="0040412D">
        <w:trPr>
          <w:trHeight w:val="990"/>
        </w:trPr>
        <w:tc>
          <w:tcPr>
            <w:tcW w:w="616" w:type="dxa"/>
            <w:tcBorders>
              <w:top w:val="nil"/>
              <w:left w:val="single" w:sz="4" w:space="0" w:color="000000"/>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i/>
                <w:iCs/>
                <w:color w:val="000000"/>
                <w:sz w:val="18"/>
                <w:szCs w:val="18"/>
                <w:lang w:val="uk-UA" w:eastAsia="uk-UA"/>
              </w:rPr>
            </w:pPr>
            <w:r w:rsidRPr="003F6E47">
              <w:rPr>
                <w:rFonts w:ascii="Calibri" w:eastAsia="Times New Roman" w:hAnsi="Calibri" w:cs="Calibri"/>
                <w:b/>
                <w:bCs/>
                <w:i/>
                <w:iCs/>
                <w:color w:val="000000"/>
                <w:sz w:val="18"/>
                <w:szCs w:val="18"/>
                <w:lang w:val="uk-UA" w:eastAsia="uk-UA"/>
              </w:rPr>
              <w:lastRenderedPageBreak/>
              <w:t>4.4</w:t>
            </w:r>
          </w:p>
        </w:tc>
        <w:tc>
          <w:tcPr>
            <w:tcW w:w="1506"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Arial" w:eastAsia="Times New Roman" w:hAnsi="Arial" w:cs="Arial"/>
                <w:b/>
                <w:bCs/>
                <w:i/>
                <w:iCs/>
                <w:color w:val="000000"/>
                <w:sz w:val="18"/>
                <w:szCs w:val="18"/>
                <w:lang w:val="uk-UA" w:eastAsia="uk-UA"/>
              </w:rPr>
            </w:pPr>
            <w:r w:rsidRPr="003F6E47">
              <w:rPr>
                <w:rFonts w:ascii="Arial" w:eastAsia="Times New Roman" w:hAnsi="Arial" w:cs="Arial"/>
                <w:b/>
                <w:bCs/>
                <w:i/>
                <w:iCs/>
                <w:color w:val="000000"/>
                <w:sz w:val="18"/>
                <w:szCs w:val="18"/>
                <w:lang w:val="uk-UA" w:eastAsia="uk-UA"/>
              </w:rPr>
              <w:t>Організація заходів до Всесвітнього дня туризму, в т.ч нагородження представників сфери</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2021-2023 рр.</w:t>
            </w:r>
          </w:p>
        </w:tc>
        <w:tc>
          <w:tcPr>
            <w:tcW w:w="1417"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Департамент маркетингу міста та туризму</w:t>
            </w:r>
          </w:p>
        </w:tc>
        <w:tc>
          <w:tcPr>
            <w:tcW w:w="1134" w:type="dxa"/>
            <w:tcBorders>
              <w:top w:val="nil"/>
              <w:left w:val="nil"/>
              <w:bottom w:val="single" w:sz="4" w:space="0" w:color="000000"/>
              <w:right w:val="single" w:sz="4" w:space="0" w:color="000000"/>
            </w:tcBorders>
            <w:shd w:val="clear" w:color="auto" w:fill="auto"/>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Кошти бюджету ВМОТГ</w:t>
            </w:r>
          </w:p>
        </w:tc>
        <w:tc>
          <w:tcPr>
            <w:tcW w:w="1134"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53,00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3"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15,00</w:t>
            </w:r>
          </w:p>
        </w:tc>
        <w:tc>
          <w:tcPr>
            <w:tcW w:w="992"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99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18,00</w:t>
            </w:r>
          </w:p>
        </w:tc>
        <w:tc>
          <w:tcPr>
            <w:tcW w:w="71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850"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20,00</w:t>
            </w:r>
          </w:p>
        </w:tc>
        <w:tc>
          <w:tcPr>
            <w:tcW w:w="851" w:type="dxa"/>
            <w:tcBorders>
              <w:top w:val="nil"/>
              <w:left w:val="nil"/>
              <w:bottom w:val="single" w:sz="4" w:space="0" w:color="000000"/>
              <w:right w:val="single" w:sz="4" w:space="0" w:color="000000"/>
            </w:tcBorders>
            <w:shd w:val="clear" w:color="auto" w:fill="auto"/>
            <w:noWrap/>
            <w:hideMark/>
          </w:tcPr>
          <w:p w:rsidR="003F6E47" w:rsidRPr="003F6E47" w:rsidRDefault="003F6E47" w:rsidP="0040412D">
            <w:pPr>
              <w:widowControl/>
              <w:rPr>
                <w:rFonts w:ascii="Calibri" w:eastAsia="Times New Roman" w:hAnsi="Calibri" w:cs="Calibri"/>
                <w:b/>
                <w:bCs/>
                <w:color w:val="000000"/>
                <w:sz w:val="18"/>
                <w:szCs w:val="18"/>
                <w:lang w:val="uk-UA" w:eastAsia="uk-UA"/>
              </w:rPr>
            </w:pPr>
            <w:r w:rsidRPr="003F6E47">
              <w:rPr>
                <w:rFonts w:ascii="Calibri" w:eastAsia="Times New Roman" w:hAnsi="Calibri" w:cs="Calibri"/>
                <w:b/>
                <w:bCs/>
                <w:color w:val="000000"/>
                <w:sz w:val="18"/>
                <w:szCs w:val="18"/>
                <w:lang w:val="uk-UA" w:eastAsia="uk-UA"/>
              </w:rPr>
              <w:t> </w:t>
            </w:r>
          </w:p>
        </w:tc>
        <w:tc>
          <w:tcPr>
            <w:tcW w:w="1559" w:type="dxa"/>
            <w:tcBorders>
              <w:top w:val="nil"/>
              <w:left w:val="nil"/>
              <w:bottom w:val="single" w:sz="4" w:space="0" w:color="000000"/>
              <w:right w:val="single" w:sz="4" w:space="0" w:color="000000"/>
            </w:tcBorders>
            <w:shd w:val="clear" w:color="FFFFFF" w:fill="FFFFFF"/>
            <w:hideMark/>
          </w:tcPr>
          <w:p w:rsidR="003F6E47" w:rsidRPr="003F6E47" w:rsidRDefault="003F6E47" w:rsidP="0040412D">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Організовано заходи до Всесвітнього дня туризму.</w:t>
            </w:r>
          </w:p>
        </w:tc>
      </w:tr>
      <w:tr w:rsidR="003F6E47" w:rsidRPr="003F6E47" w:rsidTr="003F6E47">
        <w:trPr>
          <w:trHeight w:val="315"/>
        </w:trPr>
        <w:tc>
          <w:tcPr>
            <w:tcW w:w="616" w:type="dxa"/>
            <w:tcBorders>
              <w:top w:val="nil"/>
              <w:left w:val="single" w:sz="4" w:space="0" w:color="000000"/>
              <w:bottom w:val="single" w:sz="4" w:space="0" w:color="000000"/>
              <w:right w:val="single" w:sz="4" w:space="0" w:color="000000"/>
            </w:tcBorders>
            <w:shd w:val="clear" w:color="D9EAD3" w:fill="D9EAD3"/>
            <w:noWrap/>
            <w:vAlign w:val="center"/>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 </w:t>
            </w:r>
          </w:p>
        </w:tc>
        <w:tc>
          <w:tcPr>
            <w:tcW w:w="1506"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ВСЬОГО</w:t>
            </w:r>
          </w:p>
        </w:tc>
        <w:tc>
          <w:tcPr>
            <w:tcW w:w="1134"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 </w:t>
            </w:r>
          </w:p>
        </w:tc>
        <w:tc>
          <w:tcPr>
            <w:tcW w:w="1417"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D9EAD3" w:fill="D9EAD3"/>
            <w:vAlign w:val="bottom"/>
            <w:hideMark/>
          </w:tcPr>
          <w:p w:rsidR="003F6E47" w:rsidRPr="003F6E47" w:rsidRDefault="003F6E47" w:rsidP="003F6E47">
            <w:pPr>
              <w:widowControl/>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 </w:t>
            </w:r>
          </w:p>
        </w:tc>
        <w:tc>
          <w:tcPr>
            <w:tcW w:w="1134"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11 999,00</w:t>
            </w:r>
          </w:p>
        </w:tc>
        <w:tc>
          <w:tcPr>
            <w:tcW w:w="992"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16 500,000</w:t>
            </w:r>
          </w:p>
        </w:tc>
        <w:tc>
          <w:tcPr>
            <w:tcW w:w="993"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3 403,000</w:t>
            </w:r>
          </w:p>
        </w:tc>
        <w:tc>
          <w:tcPr>
            <w:tcW w:w="992"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5 500,000</w:t>
            </w:r>
          </w:p>
        </w:tc>
        <w:tc>
          <w:tcPr>
            <w:tcW w:w="991"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4 083,000</w:t>
            </w:r>
          </w:p>
        </w:tc>
        <w:tc>
          <w:tcPr>
            <w:tcW w:w="710"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5 500,000</w:t>
            </w:r>
          </w:p>
        </w:tc>
        <w:tc>
          <w:tcPr>
            <w:tcW w:w="850"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4 513,000</w:t>
            </w:r>
          </w:p>
        </w:tc>
        <w:tc>
          <w:tcPr>
            <w:tcW w:w="851" w:type="dxa"/>
            <w:tcBorders>
              <w:top w:val="nil"/>
              <w:left w:val="nil"/>
              <w:bottom w:val="single" w:sz="4" w:space="0" w:color="000000"/>
              <w:right w:val="single" w:sz="4" w:space="0" w:color="000000"/>
            </w:tcBorders>
            <w:shd w:val="clear" w:color="D9EAD3" w:fill="D9EAD3"/>
            <w:noWrap/>
            <w:vAlign w:val="bottom"/>
            <w:hideMark/>
          </w:tcPr>
          <w:p w:rsidR="003F6E47" w:rsidRPr="003F6E47" w:rsidRDefault="003F6E47" w:rsidP="003F6E47">
            <w:pPr>
              <w:widowControl/>
              <w:jc w:val="right"/>
              <w:rPr>
                <w:rFonts w:ascii="Arial" w:eastAsia="Times New Roman" w:hAnsi="Arial" w:cs="Arial"/>
                <w:b/>
                <w:bCs/>
                <w:color w:val="000000"/>
                <w:sz w:val="18"/>
                <w:szCs w:val="18"/>
                <w:lang w:val="uk-UA" w:eastAsia="uk-UA"/>
              </w:rPr>
            </w:pPr>
            <w:r w:rsidRPr="003F6E47">
              <w:rPr>
                <w:rFonts w:ascii="Arial" w:eastAsia="Times New Roman" w:hAnsi="Arial" w:cs="Arial"/>
                <w:b/>
                <w:bCs/>
                <w:color w:val="000000"/>
                <w:sz w:val="18"/>
                <w:szCs w:val="18"/>
                <w:lang w:val="uk-UA" w:eastAsia="uk-UA"/>
              </w:rPr>
              <w:t>5 500,000</w:t>
            </w:r>
          </w:p>
        </w:tc>
        <w:tc>
          <w:tcPr>
            <w:tcW w:w="1559" w:type="dxa"/>
            <w:tcBorders>
              <w:top w:val="nil"/>
              <w:left w:val="nil"/>
              <w:bottom w:val="single" w:sz="4" w:space="0" w:color="000000"/>
              <w:right w:val="single" w:sz="4" w:space="0" w:color="000000"/>
            </w:tcBorders>
            <w:shd w:val="clear" w:color="FFFFFF" w:fill="FFFFFF"/>
            <w:vAlign w:val="bottom"/>
            <w:hideMark/>
          </w:tcPr>
          <w:p w:rsidR="003F6E47" w:rsidRPr="003F6E47" w:rsidRDefault="003F6E47" w:rsidP="003F6E47">
            <w:pPr>
              <w:widowControl/>
              <w:rPr>
                <w:rFonts w:ascii="Calibri" w:eastAsia="Times New Roman" w:hAnsi="Calibri" w:cs="Calibri"/>
                <w:color w:val="000000"/>
                <w:sz w:val="18"/>
                <w:szCs w:val="18"/>
                <w:lang w:val="uk-UA" w:eastAsia="uk-UA"/>
              </w:rPr>
            </w:pPr>
            <w:r w:rsidRPr="003F6E47">
              <w:rPr>
                <w:rFonts w:ascii="Calibri" w:eastAsia="Times New Roman" w:hAnsi="Calibri" w:cs="Calibri"/>
                <w:color w:val="000000"/>
                <w:sz w:val="18"/>
                <w:szCs w:val="18"/>
                <w:lang w:val="uk-UA" w:eastAsia="uk-UA"/>
              </w:rPr>
              <w:t> </w:t>
            </w:r>
          </w:p>
        </w:tc>
      </w:tr>
    </w:tbl>
    <w:p w:rsidR="00671273" w:rsidRDefault="00671273" w:rsidP="001F1B12">
      <w:pPr>
        <w:spacing w:before="240" w:after="240"/>
        <w:rPr>
          <w:rFonts w:ascii="Times New Roman" w:eastAsia="Times New Roman" w:hAnsi="Times New Roman" w:cs="Times New Roman"/>
          <w:b/>
          <w:sz w:val="28"/>
          <w:szCs w:val="28"/>
          <w:lang w:val="ru-RU"/>
        </w:rPr>
      </w:pPr>
    </w:p>
    <w:p w:rsidR="003F6E47" w:rsidRDefault="003F6E47" w:rsidP="001F1B12">
      <w:pPr>
        <w:spacing w:before="240" w:after="240"/>
        <w:rPr>
          <w:rFonts w:ascii="Times New Roman" w:eastAsia="Times New Roman" w:hAnsi="Times New Roman" w:cs="Times New Roman"/>
          <w:b/>
          <w:sz w:val="28"/>
          <w:szCs w:val="28"/>
          <w:lang w:val="ru-RU"/>
        </w:rPr>
      </w:pPr>
    </w:p>
    <w:p w:rsidR="003F6E47" w:rsidRDefault="003F6E47" w:rsidP="001F1B12">
      <w:pPr>
        <w:spacing w:before="240" w:after="240"/>
        <w:rPr>
          <w:rFonts w:ascii="Times New Roman" w:eastAsia="Times New Roman" w:hAnsi="Times New Roman" w:cs="Times New Roman"/>
          <w:b/>
          <w:sz w:val="28"/>
          <w:szCs w:val="28"/>
          <w:lang w:val="ru-RU"/>
        </w:rPr>
        <w:sectPr w:rsidR="003F6E47" w:rsidSect="00671273">
          <w:pgSz w:w="16840" w:h="11910" w:orient="landscape"/>
          <w:pgMar w:top="1560" w:right="1135" w:bottom="601" w:left="1276" w:header="709" w:footer="709" w:gutter="0"/>
          <w:cols w:space="720"/>
          <w:docGrid w:linePitch="299"/>
        </w:sectPr>
      </w:pPr>
      <w:bookmarkStart w:id="0" w:name="_GoBack"/>
      <w:bookmarkEnd w:id="0"/>
    </w:p>
    <w:p w:rsidR="001F1B12" w:rsidRPr="009B3A7B" w:rsidRDefault="001F1B12" w:rsidP="001F1B12">
      <w:pPr>
        <w:spacing w:before="240" w:after="240"/>
        <w:rPr>
          <w:rFonts w:ascii="Times New Roman" w:eastAsia="Times New Roman" w:hAnsi="Times New Roman" w:cs="Times New Roman"/>
          <w:b/>
          <w:sz w:val="28"/>
          <w:szCs w:val="28"/>
          <w:lang w:val="ru-RU"/>
        </w:rPr>
      </w:pPr>
      <w:r w:rsidRPr="009B3A7B">
        <w:rPr>
          <w:rFonts w:ascii="Times New Roman" w:eastAsia="Times New Roman" w:hAnsi="Times New Roman" w:cs="Times New Roman"/>
          <w:b/>
          <w:sz w:val="28"/>
          <w:szCs w:val="28"/>
          <w:lang w:val="ru-RU"/>
        </w:rPr>
        <w:lastRenderedPageBreak/>
        <w:t>1.8 Наскрізні теми в контексті КІРМ 2030</w:t>
      </w:r>
    </w:p>
    <w:tbl>
      <w:tblPr>
        <w:tblW w:w="0" w:type="auto"/>
        <w:tblCellMar>
          <w:top w:w="15" w:type="dxa"/>
          <w:left w:w="15" w:type="dxa"/>
          <w:bottom w:w="15" w:type="dxa"/>
          <w:right w:w="15" w:type="dxa"/>
        </w:tblCellMar>
        <w:tblLook w:val="04A0" w:firstRow="1" w:lastRow="0" w:firstColumn="1" w:lastColumn="0" w:noHBand="0" w:noVBand="1"/>
      </w:tblPr>
      <w:tblGrid>
        <w:gridCol w:w="2357"/>
        <w:gridCol w:w="7333"/>
      </w:tblGrid>
      <w:tr w:rsidR="009B3A7B" w:rsidRPr="009B3A7B" w:rsidTr="009B3A7B">
        <w:trPr>
          <w:trHeight w:val="102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Наскрізні теми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 xml:space="preserve">Однією з найбільш актуальних наскрізних тем є: </w:t>
            </w:r>
            <w:r w:rsidRPr="009B3A7B">
              <w:rPr>
                <w:rFonts w:ascii="Times New Roman" w:eastAsia="Times New Roman" w:hAnsi="Times New Roman" w:cs="Times New Roman"/>
                <w:b/>
                <w:bCs/>
                <w:sz w:val="28"/>
                <w:szCs w:val="28"/>
                <w:lang w:val="uk-UA"/>
              </w:rPr>
              <w:t>Місто Вінниця в міжнародному, національному та регіональному контекстах</w:t>
            </w:r>
            <w:r w:rsidRPr="009B3A7B">
              <w:rPr>
                <w:rFonts w:ascii="Times New Roman" w:eastAsia="Times New Roman" w:hAnsi="Times New Roman" w:cs="Times New Roman"/>
                <w:sz w:val="28"/>
                <w:szCs w:val="28"/>
                <w:lang w:val="uk-UA"/>
              </w:rPr>
              <w:t xml:space="preserve">. У ній закладено позиціонування, присутність у міжнародному інформаційному просторі, формування позитивного іміджу, співпраця з міжнародними організаціями, посольствами іноземних держав та містами-побратимами. Також тут важливими є залізниця та аеропорт. </w:t>
            </w:r>
            <w:r w:rsidRPr="009B3A7B">
              <w:rPr>
                <w:rFonts w:ascii="Times New Roman" w:eastAsia="Times New Roman" w:hAnsi="Times New Roman" w:cs="Times New Roman"/>
                <w:b/>
                <w:bCs/>
                <w:i/>
                <w:iCs/>
                <w:sz w:val="28"/>
                <w:szCs w:val="28"/>
                <w:lang w:val="uk-UA"/>
              </w:rPr>
              <w:t> </w:t>
            </w:r>
          </w:p>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 xml:space="preserve">Оптимальне управління міськими фінансами </w:t>
            </w:r>
            <w:r w:rsidRPr="009B3A7B">
              <w:rPr>
                <w:rFonts w:ascii="Times New Roman" w:eastAsia="Times New Roman" w:hAnsi="Times New Roman" w:cs="Times New Roman"/>
                <w:sz w:val="28"/>
                <w:szCs w:val="28"/>
                <w:lang w:val="uk-UA"/>
              </w:rPr>
              <w:t>також є актуальною та найбільш об’ємною наскрізною темою в контексті Програми розвитку туризму: залучення фінансування для реалізації запланованих проектів, популяризація Вінницької міської ОТГ як туристичного напряму, стимулювання туристичних потоків, поліпшення діалогу з підприємцями індустрії туризму та гостинності з метою збільшення доходів від податків та зборів, залучення іноземних інвестицій шляхом активного просування та популяризації інвестиційного потенціалу Вінниці на зовнішніх ринках, підвищення обізнаності про Вінницьку міську ОТГ, реалізація Маркетингової стратегії Вінниці. </w:t>
            </w:r>
          </w:p>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Облік ресурсів та цифровізація</w:t>
            </w:r>
            <w:r w:rsidRPr="009B3A7B">
              <w:rPr>
                <w:rFonts w:ascii="Times New Roman" w:eastAsia="Times New Roman" w:hAnsi="Times New Roman" w:cs="Times New Roman"/>
                <w:sz w:val="28"/>
                <w:szCs w:val="28"/>
                <w:lang w:val="uk-UA"/>
              </w:rPr>
              <w:t xml:space="preserve"> є актуальною темою в контексті цифрового просування (сайт, сторінки в соціальних мережах) та створення цифрових туристичних сервісів і додатків. </w:t>
            </w:r>
          </w:p>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 xml:space="preserve">Врахування прав та потреб чоловіків та жінок </w:t>
            </w:r>
            <w:r w:rsidRPr="009B3A7B">
              <w:rPr>
                <w:rFonts w:ascii="Times New Roman" w:eastAsia="Times New Roman" w:hAnsi="Times New Roman" w:cs="Times New Roman"/>
                <w:sz w:val="28"/>
                <w:szCs w:val="28"/>
                <w:lang w:val="uk-UA"/>
              </w:rPr>
              <w:t>є актуальним при плануванні, реалізації, моніторингу й оцінці програм і проектів, а також при організації внутрішньої роботи департаменту. </w:t>
            </w:r>
          </w:p>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 xml:space="preserve">Доступ до чистої питної води </w:t>
            </w:r>
            <w:r w:rsidRPr="009B3A7B">
              <w:rPr>
                <w:rFonts w:ascii="Times New Roman" w:eastAsia="Times New Roman" w:hAnsi="Times New Roman" w:cs="Times New Roman"/>
                <w:sz w:val="28"/>
                <w:szCs w:val="28"/>
                <w:lang w:val="uk-UA"/>
              </w:rPr>
              <w:t>надзвичайно актуальна тема, в контексті Програми розвитку туризму більше уваги звертається на використання потенціалу річки: розваги та активний відпочинок на воді, водний транспорт тощо. </w:t>
            </w:r>
          </w:p>
        </w:tc>
      </w:tr>
      <w:tr w:rsidR="009B3A7B" w:rsidRPr="009B3A7B" w:rsidTr="009B3A7B">
        <w:trPr>
          <w:trHeight w:val="810"/>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Пріоритизація наскрізної теми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Місто Вінниця в міжнародному, національному та регіональному контекстах.</w:t>
            </w:r>
          </w:p>
        </w:tc>
      </w:tr>
      <w:tr w:rsidR="009B3A7B" w:rsidRPr="009B3A7B" w:rsidTr="009B3A7B">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lastRenderedPageBreak/>
              <w:t>Заходи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Заходи, які належать до наскрізної теми “Місто Вінниця і міжнародному, національному та регіональному контекстах”, лежать в пріоритетних напрямках маркетингу дестинації та поліпшення якості послуг, кадрового забезпечення та комунікацій в сфері туризму:</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Цифрове просування дестинації через офіційний туристичний портал, сторінки в соцмережах і медіаресурси (також перетинається з наскрізною темою “Облік ресурсів та цифровізація”)</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Створення й розповсюдження промоматеріалів, контенту, носіїв та видань про Вінницю та регіон (також перетинається з наскрізною темою “Облік ресурсів та цифровізація”)</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Участь у туристичних виставках і спеціалізованих подіях в Україні та за кордоном</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Прийняття та обслуговування делегацій та представників туристичної галузі, органів влади та місцевого самоврядування, ділового, культурного, дипломатичного й громадського секторів та засобів масової інформації з України та з-за кордону</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Використання локальних подій у цілях маркетингу, просування бренду й суббрендів та підсилення туристичного іміджу;</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Сприяння промоції аеропорту Вінниці</w:t>
            </w:r>
          </w:p>
          <w:p w:rsidR="009B3A7B" w:rsidRPr="009B3A7B" w:rsidRDefault="009B3A7B" w:rsidP="0040412D">
            <w:pPr>
              <w:numPr>
                <w:ilvl w:val="0"/>
                <w:numId w:val="13"/>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Розширення співпраці з містами-побратимами і партнерськими містами та регіонами щодо реалізації культурних і туристичних проектів, розвиток туристичних обмінів;</w:t>
            </w:r>
          </w:p>
          <w:p w:rsidR="009B3A7B" w:rsidRPr="009B3A7B" w:rsidRDefault="009B3A7B" w:rsidP="0040412D">
            <w:pPr>
              <w:numPr>
                <w:ilvl w:val="0"/>
                <w:numId w:val="14"/>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Реалізація заходів з навчання та підвищення кваліфікації працівників туристичної сфери</w:t>
            </w:r>
          </w:p>
          <w:p w:rsidR="009B3A7B" w:rsidRPr="009B3A7B" w:rsidRDefault="009B3A7B" w:rsidP="0040412D">
            <w:pPr>
              <w:numPr>
                <w:ilvl w:val="0"/>
                <w:numId w:val="14"/>
              </w:num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Проведення навчальних програм і заходів для розвитку та консолідації МСП в туризмі.</w:t>
            </w:r>
          </w:p>
        </w:tc>
      </w:tr>
      <w:tr w:rsidR="009B3A7B" w:rsidRPr="009B3A7B" w:rsidTr="009B3A7B">
        <w:trPr>
          <w:trHeight w:val="885"/>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b/>
                <w:bCs/>
                <w:sz w:val="28"/>
                <w:szCs w:val="28"/>
                <w:lang w:val="uk-UA"/>
              </w:rPr>
              <w:t xml:space="preserve">Очікувані </w:t>
            </w:r>
            <w:r w:rsidRPr="009B3A7B">
              <w:rPr>
                <w:rFonts w:ascii="Times New Roman" w:eastAsia="Times New Roman" w:hAnsi="Times New Roman" w:cs="Times New Roman"/>
                <w:b/>
                <w:bCs/>
                <w:sz w:val="28"/>
                <w:szCs w:val="28"/>
                <w:lang w:val="uk-UA"/>
              </w:rPr>
              <w:lastRenderedPageBreak/>
              <w:t>результати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lastRenderedPageBreak/>
              <w:t xml:space="preserve">Збільшення кількості туристів та розміру надходжень від </w:t>
            </w:r>
            <w:r w:rsidRPr="009B3A7B">
              <w:rPr>
                <w:rFonts w:ascii="Times New Roman" w:eastAsia="Times New Roman" w:hAnsi="Times New Roman" w:cs="Times New Roman"/>
                <w:sz w:val="28"/>
                <w:szCs w:val="28"/>
                <w:lang w:val="uk-UA"/>
              </w:rPr>
              <w:lastRenderedPageBreak/>
              <w:t>галузі до бюджету ВМОТГ й інвестицій у галузь. </w:t>
            </w:r>
          </w:p>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Сформований конкурентоспроможний туристичний продукт та системна промоція дестинації.</w:t>
            </w:r>
          </w:p>
          <w:p w:rsidR="009B3A7B" w:rsidRPr="009B3A7B" w:rsidRDefault="009B3A7B" w:rsidP="009B3A7B">
            <w:pPr>
              <w:spacing w:before="240" w:after="240"/>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Вдосконалена туристична інфраструктура, рівень сервісу, забезпеченість кадрами та координація дій влади, бізнесу та громадських організацій. </w:t>
            </w:r>
          </w:p>
        </w:tc>
      </w:tr>
    </w:tbl>
    <w:p w:rsidR="001F1B12" w:rsidRPr="001F1B12" w:rsidRDefault="001F1B12" w:rsidP="001F1B12">
      <w:pPr>
        <w:spacing w:before="240" w:after="240"/>
        <w:rPr>
          <w:rFonts w:ascii="Times New Roman" w:eastAsia="Times New Roman" w:hAnsi="Times New Roman" w:cs="Times New Roman"/>
          <w:lang w:val="ru-RU"/>
        </w:rPr>
      </w:pPr>
      <w:r w:rsidRPr="001F1B12">
        <w:rPr>
          <w:rFonts w:ascii="Times New Roman" w:eastAsia="Times New Roman" w:hAnsi="Times New Roman" w:cs="Times New Roman"/>
          <w:lang w:val="ru-RU"/>
        </w:rPr>
        <w:lastRenderedPageBreak/>
        <w:t xml:space="preserve"> </w:t>
      </w:r>
      <w:r w:rsidRPr="001F1B12">
        <w:rPr>
          <w:lang w:val="ru-RU"/>
        </w:rPr>
        <w:br w:type="page"/>
      </w:r>
    </w:p>
    <w:p w:rsidR="009B3A7B" w:rsidRPr="009B3A7B" w:rsidRDefault="009B3A7B" w:rsidP="009B3A7B">
      <w:pPr>
        <w:ind w:firstLine="567"/>
        <w:jc w:val="both"/>
        <w:rPr>
          <w:rFonts w:ascii="Times New Roman" w:eastAsia="Times New Roman" w:hAnsi="Times New Roman" w:cs="Times New Roman"/>
          <w:b/>
          <w:sz w:val="28"/>
          <w:szCs w:val="28"/>
          <w:lang w:val="uk-UA"/>
        </w:rPr>
      </w:pPr>
      <w:r w:rsidRPr="009B3A7B">
        <w:rPr>
          <w:rFonts w:ascii="Times New Roman" w:eastAsia="Times New Roman" w:hAnsi="Times New Roman" w:cs="Times New Roman"/>
          <w:b/>
          <w:bCs/>
          <w:sz w:val="28"/>
          <w:szCs w:val="28"/>
          <w:lang w:val="uk-UA"/>
        </w:rPr>
        <w:lastRenderedPageBreak/>
        <w:t>1.9. Просторовий вимір</w:t>
      </w:r>
    </w:p>
    <w:p w:rsidR="009B3A7B" w:rsidRPr="009B3A7B" w:rsidRDefault="009B3A7B" w:rsidP="009B3A7B">
      <w:pPr>
        <w:ind w:firstLine="567"/>
        <w:jc w:val="both"/>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Серед проектів, які планується реалізувати в рамках даної програми і можна відобразити у просторовому вимірі, є Туристичний хаб Вінниці, Територія SUN та встановлення елементів туристично-інформаційної навігації.</w:t>
      </w:r>
    </w:p>
    <w:p w:rsidR="009B3A7B" w:rsidRPr="009B3A7B" w:rsidRDefault="009B3A7B" w:rsidP="009B3A7B">
      <w:pPr>
        <w:ind w:firstLine="567"/>
        <w:jc w:val="both"/>
        <w:rPr>
          <w:rFonts w:ascii="Times New Roman" w:eastAsia="Times New Roman" w:hAnsi="Times New Roman" w:cs="Times New Roman"/>
          <w:b/>
          <w:sz w:val="28"/>
          <w:szCs w:val="28"/>
          <w:lang w:val="uk-UA"/>
        </w:rPr>
      </w:pPr>
    </w:p>
    <w:p w:rsidR="009B3A7B" w:rsidRPr="009B3A7B" w:rsidRDefault="009B3A7B" w:rsidP="009B3A7B">
      <w:pPr>
        <w:ind w:firstLine="567"/>
        <w:jc w:val="both"/>
        <w:rPr>
          <w:rFonts w:ascii="Times New Roman" w:eastAsia="Times New Roman" w:hAnsi="Times New Roman" w:cs="Times New Roman"/>
          <w:b/>
          <w:sz w:val="28"/>
          <w:szCs w:val="28"/>
          <w:lang w:val="uk-UA"/>
        </w:rPr>
      </w:pPr>
      <w:r w:rsidRPr="009B3A7B">
        <w:rPr>
          <w:rFonts w:ascii="Times New Roman" w:eastAsia="Times New Roman" w:hAnsi="Times New Roman" w:cs="Times New Roman"/>
          <w:b/>
          <w:bCs/>
          <w:sz w:val="28"/>
          <w:szCs w:val="28"/>
          <w:lang w:val="uk-UA"/>
        </w:rPr>
        <w:t>1.10. Система управління та контролю за ходом виконання програми</w:t>
      </w:r>
    </w:p>
    <w:p w:rsidR="009B3A7B" w:rsidRPr="009B3A7B" w:rsidRDefault="009B3A7B" w:rsidP="009B3A7B">
      <w:pPr>
        <w:ind w:firstLine="567"/>
        <w:jc w:val="both"/>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Управління та контроль за ходом виконання заходів програми здійснює її відповідальний виконавець – департамент маркетингу міста та туризму Вінницької міської ради.</w:t>
      </w:r>
    </w:p>
    <w:p w:rsidR="009B3A7B" w:rsidRPr="009B3A7B" w:rsidRDefault="009B3A7B" w:rsidP="009B3A7B">
      <w:pPr>
        <w:ind w:firstLine="567"/>
        <w:jc w:val="both"/>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Відповідальність за виконання заходів програми несуть її учасники (співвиконавці). </w:t>
      </w:r>
    </w:p>
    <w:p w:rsidR="009B3A7B" w:rsidRPr="009B3A7B" w:rsidRDefault="009B3A7B" w:rsidP="009B3A7B">
      <w:pPr>
        <w:ind w:firstLine="567"/>
        <w:jc w:val="both"/>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rsidR="009B3A7B" w:rsidRPr="009B3A7B" w:rsidRDefault="009B3A7B" w:rsidP="009B3A7B">
      <w:pPr>
        <w:ind w:firstLine="567"/>
        <w:jc w:val="both"/>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У разі потреби до Програми вносяться зміни згідно з установленим порядком за процедурою внесення змін до місцевих нормативних актів.</w:t>
      </w:r>
    </w:p>
    <w:p w:rsidR="009B3A7B" w:rsidRPr="009B3A7B" w:rsidRDefault="009B3A7B" w:rsidP="009B3A7B">
      <w:pPr>
        <w:ind w:firstLine="567"/>
        <w:jc w:val="both"/>
        <w:rPr>
          <w:rFonts w:ascii="Times New Roman" w:eastAsia="Times New Roman" w:hAnsi="Times New Roman" w:cs="Times New Roman"/>
          <w:sz w:val="28"/>
          <w:szCs w:val="28"/>
          <w:lang w:val="uk-UA"/>
        </w:rPr>
      </w:pPr>
      <w:r w:rsidRPr="009B3A7B">
        <w:rPr>
          <w:rFonts w:ascii="Times New Roman" w:eastAsia="Times New Roman" w:hAnsi="Times New Roman" w:cs="Times New Roman"/>
          <w:sz w:val="28"/>
          <w:szCs w:val="28"/>
          <w:lang w:val="uk-UA"/>
        </w:rPr>
        <w:t>Щорічне звітування про виконання Програми відбувається не пізніше 15 квітня (згідно Порядку) року, наступного за звітним. Звіт надсилається департаменту економіки і інвестицій Вінницької міської ради.</w:t>
      </w:r>
    </w:p>
    <w:p w:rsidR="001F1B12" w:rsidRPr="00671273" w:rsidRDefault="001F1B12" w:rsidP="001F1B12">
      <w:pPr>
        <w:ind w:firstLine="567"/>
        <w:jc w:val="both"/>
        <w:rPr>
          <w:rFonts w:ascii="Times New Roman" w:eastAsia="Times New Roman" w:hAnsi="Times New Roman" w:cs="Times New Roman"/>
          <w:sz w:val="20"/>
          <w:szCs w:val="20"/>
          <w:lang w:val="ru-RU"/>
        </w:rPr>
      </w:pPr>
    </w:p>
    <w:p w:rsidR="001F1B12" w:rsidRPr="00671273" w:rsidRDefault="001F1B12" w:rsidP="001F1B12">
      <w:pPr>
        <w:ind w:firstLine="567"/>
        <w:jc w:val="both"/>
        <w:rPr>
          <w:rFonts w:ascii="Times New Roman" w:eastAsia="Times New Roman" w:hAnsi="Times New Roman" w:cs="Times New Roman"/>
          <w:sz w:val="20"/>
          <w:szCs w:val="20"/>
          <w:lang w:val="ru-RU"/>
        </w:rPr>
      </w:pPr>
    </w:p>
    <w:p w:rsidR="001F1B12" w:rsidRPr="00671273" w:rsidRDefault="001F1B12" w:rsidP="001F1B12">
      <w:pPr>
        <w:rPr>
          <w:rFonts w:ascii="Times New Roman" w:eastAsia="Times New Roman" w:hAnsi="Times New Roman" w:cs="Times New Roman"/>
          <w:b/>
          <w:sz w:val="28"/>
          <w:szCs w:val="28"/>
          <w:lang w:val="ru-RU"/>
        </w:rPr>
      </w:pPr>
      <w:r w:rsidRPr="00671273">
        <w:rPr>
          <w:lang w:val="ru-RU"/>
        </w:rPr>
        <w:br w:type="page"/>
      </w:r>
    </w:p>
    <w:p w:rsidR="001A484E" w:rsidRDefault="001F1B12" w:rsidP="009B3A7B">
      <w:pPr>
        <w:spacing w:before="240" w:after="240"/>
        <w:rPr>
          <w:rFonts w:ascii="Times New Roman" w:eastAsia="Times New Roman" w:hAnsi="Times New Roman" w:cs="Times New Roman"/>
          <w:b/>
          <w:sz w:val="28"/>
          <w:szCs w:val="28"/>
          <w:lang w:val="ru-RU"/>
        </w:rPr>
      </w:pPr>
      <w:r w:rsidRPr="001F1B12">
        <w:rPr>
          <w:rFonts w:ascii="Times New Roman" w:eastAsia="Times New Roman" w:hAnsi="Times New Roman" w:cs="Times New Roman"/>
          <w:b/>
          <w:sz w:val="28"/>
          <w:szCs w:val="28"/>
          <w:lang w:val="ru-RU"/>
        </w:rPr>
        <w:lastRenderedPageBreak/>
        <w:t>1.11 Ключові показники програми розвитку туризму Вінницької міської ОТГ на 2021-2023 роки</w:t>
      </w:r>
    </w:p>
    <w:p w:rsidR="009B3A7B" w:rsidRPr="009B3A7B" w:rsidRDefault="009B3A7B" w:rsidP="009B3A7B">
      <w:pPr>
        <w:spacing w:before="240" w:after="240"/>
        <w:rPr>
          <w:spacing w:val="-1"/>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551"/>
        <w:gridCol w:w="1775"/>
        <w:gridCol w:w="1266"/>
        <w:gridCol w:w="1527"/>
        <w:gridCol w:w="1527"/>
        <w:gridCol w:w="1527"/>
        <w:gridCol w:w="1527"/>
      </w:tblGrid>
      <w:tr w:rsidR="009B3A7B" w:rsidRPr="009B3A7B" w:rsidTr="000F742D">
        <w:trPr>
          <w:trHeight w:val="4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 з/п</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Назва показника</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Одиниця виміру</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Вихідне значення показника</w:t>
            </w:r>
          </w:p>
        </w:tc>
        <w:tc>
          <w:tcPr>
            <w:tcW w:w="4176" w:type="dxa"/>
            <w:gridSpan w:val="3"/>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Прогнозні показники, по роках</w:t>
            </w:r>
          </w:p>
        </w:tc>
      </w:tr>
      <w:tr w:rsidR="009B3A7B" w:rsidRPr="009B3A7B" w:rsidTr="000F742D">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B3A7B" w:rsidRPr="009B3A7B" w:rsidRDefault="009B3A7B" w:rsidP="009B3A7B">
            <w:pPr>
              <w:spacing w:before="240" w:after="240"/>
              <w:rPr>
                <w:rFonts w:ascii="Times New Roman" w:hAnsi="Times New Roman" w:cs="Times New Roman"/>
                <w:spacing w:val="-1"/>
                <w:sz w:val="28"/>
                <w:szCs w:val="28"/>
                <w:lang w:val="uk-UA"/>
              </w:rPr>
            </w:pPr>
          </w:p>
        </w:tc>
        <w:tc>
          <w:tcPr>
            <w:tcW w:w="1775" w:type="dxa"/>
            <w:vMerge/>
            <w:tcBorders>
              <w:top w:val="single" w:sz="4" w:space="0" w:color="000000"/>
              <w:left w:val="single" w:sz="4" w:space="0" w:color="000000"/>
              <w:bottom w:val="single" w:sz="4" w:space="0" w:color="000000"/>
              <w:right w:val="single" w:sz="4" w:space="0" w:color="000000"/>
            </w:tcBorders>
            <w:vAlign w:val="center"/>
            <w:hideMark/>
          </w:tcPr>
          <w:p w:rsidR="009B3A7B" w:rsidRPr="009B3A7B" w:rsidRDefault="009B3A7B" w:rsidP="009B3A7B">
            <w:pPr>
              <w:spacing w:before="240" w:after="240"/>
              <w:rPr>
                <w:rFonts w:ascii="Times New Roman" w:hAnsi="Times New Roman" w:cs="Times New Roman"/>
                <w:spacing w:val="-1"/>
                <w:sz w:val="28"/>
                <w:szCs w:val="28"/>
                <w:lang w:val="uk-UA"/>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rsidR="009B3A7B" w:rsidRPr="009B3A7B" w:rsidRDefault="009B3A7B" w:rsidP="009B3A7B">
            <w:pPr>
              <w:spacing w:before="240" w:after="240"/>
              <w:rPr>
                <w:rFonts w:ascii="Times New Roman" w:hAnsi="Times New Roman" w:cs="Times New Roman"/>
                <w:spacing w:val="-1"/>
                <w:sz w:val="28"/>
                <w:szCs w:val="28"/>
                <w:lang w:val="uk-UA"/>
              </w:rPr>
            </w:pPr>
          </w:p>
        </w:tc>
        <w:tc>
          <w:tcPr>
            <w:tcW w:w="1932" w:type="dxa"/>
            <w:vMerge/>
            <w:tcBorders>
              <w:top w:val="single" w:sz="4" w:space="0" w:color="000000"/>
              <w:left w:val="single" w:sz="4" w:space="0" w:color="000000"/>
              <w:bottom w:val="single" w:sz="4" w:space="0" w:color="000000"/>
              <w:right w:val="single" w:sz="4" w:space="0" w:color="000000"/>
            </w:tcBorders>
            <w:vAlign w:val="center"/>
            <w:hideMark/>
          </w:tcPr>
          <w:p w:rsidR="009B3A7B" w:rsidRPr="009B3A7B" w:rsidRDefault="009B3A7B" w:rsidP="009B3A7B">
            <w:pPr>
              <w:spacing w:before="240" w:after="240"/>
              <w:rPr>
                <w:rFonts w:ascii="Times New Roman" w:hAnsi="Times New Roman" w:cs="Times New Roman"/>
                <w:spacing w:val="-1"/>
                <w:sz w:val="28"/>
                <w:szCs w:val="28"/>
                <w:lang w:val="uk-UA"/>
              </w:rPr>
            </w:pPr>
          </w:p>
        </w:tc>
        <w:tc>
          <w:tcPr>
            <w:tcW w:w="1122"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2021</w:t>
            </w:r>
          </w:p>
        </w:tc>
        <w:tc>
          <w:tcPr>
            <w:tcW w:w="1527"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2022</w:t>
            </w:r>
          </w:p>
        </w:tc>
        <w:tc>
          <w:tcPr>
            <w:tcW w:w="1527"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00" w:type="dxa"/>
              <w:bottom w:w="100" w:type="dxa"/>
              <w:right w:w="100" w:type="dxa"/>
            </w:tcMar>
            <w:hideMark/>
          </w:tcPr>
          <w:p w:rsidR="009B3A7B" w:rsidRPr="009B3A7B" w:rsidRDefault="009B3A7B" w:rsidP="000F742D">
            <w:pPr>
              <w:spacing w:before="240" w:after="240"/>
              <w:jc w:val="center"/>
              <w:rPr>
                <w:rFonts w:ascii="Times New Roman" w:hAnsi="Times New Roman" w:cs="Times New Roman"/>
                <w:spacing w:val="-1"/>
                <w:sz w:val="28"/>
                <w:szCs w:val="28"/>
                <w:lang w:val="uk-UA"/>
              </w:rPr>
            </w:pPr>
            <w:r w:rsidRPr="009B3A7B">
              <w:rPr>
                <w:rFonts w:ascii="Times New Roman" w:hAnsi="Times New Roman" w:cs="Times New Roman"/>
                <w:b/>
                <w:bCs/>
                <w:spacing w:val="-1"/>
                <w:sz w:val="28"/>
                <w:szCs w:val="28"/>
                <w:lang w:val="uk-UA"/>
              </w:rPr>
              <w:t>2023</w:t>
            </w:r>
          </w:p>
        </w:tc>
      </w:tr>
      <w:tr w:rsidR="009B3A7B" w:rsidRPr="009B3A7B" w:rsidTr="000F742D">
        <w:trPr>
          <w:trHeight w:val="17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b/>
                <w:bCs/>
                <w:i/>
                <w:iCs/>
                <w:spacing w:val="-1"/>
                <w:sz w:val="28"/>
                <w:szCs w:val="28"/>
                <w:lang w:val="uk-UA"/>
              </w:rPr>
              <w:t>1</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b/>
                <w:bCs/>
                <w:i/>
                <w:iCs/>
                <w:spacing w:val="-1"/>
                <w:sz w:val="28"/>
                <w:szCs w:val="28"/>
                <w:lang w:val="uk-UA"/>
              </w:rPr>
              <w:t>2</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i/>
                <w:iCs/>
                <w:spacing w:val="-1"/>
                <w:sz w:val="28"/>
                <w:szCs w:val="28"/>
                <w:lang w:val="uk-UA"/>
              </w:rPr>
              <w:t>3</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b/>
                <w:bCs/>
                <w:i/>
                <w:iCs/>
                <w:spacing w:val="-1"/>
                <w:sz w:val="28"/>
                <w:szCs w:val="28"/>
                <w:lang w:val="uk-UA"/>
              </w:rPr>
              <w:t>4</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b/>
                <w:bCs/>
                <w:i/>
                <w:iCs/>
                <w:spacing w:val="-1"/>
                <w:sz w:val="28"/>
                <w:szCs w:val="28"/>
                <w:lang w:val="uk-UA"/>
              </w:rPr>
              <w:t>5</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b/>
                <w:bCs/>
                <w:i/>
                <w:iCs/>
                <w:spacing w:val="-1"/>
                <w:sz w:val="28"/>
                <w:szCs w:val="28"/>
                <w:lang w:val="uk-UA"/>
              </w:rPr>
              <w:t>6</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jc w:val="center"/>
              <w:rPr>
                <w:rFonts w:ascii="Times New Roman" w:hAnsi="Times New Roman" w:cs="Times New Roman"/>
                <w:spacing w:val="-1"/>
                <w:sz w:val="28"/>
                <w:szCs w:val="28"/>
                <w:lang w:val="uk-UA"/>
              </w:rPr>
            </w:pPr>
            <w:r w:rsidRPr="009B3A7B">
              <w:rPr>
                <w:rFonts w:ascii="Times New Roman" w:hAnsi="Times New Roman" w:cs="Times New Roman"/>
                <w:b/>
                <w:bCs/>
                <w:i/>
                <w:iCs/>
                <w:spacing w:val="-1"/>
                <w:sz w:val="28"/>
                <w:szCs w:val="28"/>
                <w:lang w:val="uk-UA"/>
              </w:rPr>
              <w:t>7</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1. </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Обсяг податкових надходжень від індустрії гостинності і туризму</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тис. грн</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15 000,0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20 000,0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27 000,0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35 000,0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ночівель у закладах розміщення міста</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33 000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45 000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55 000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75 000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Обсяг надходжень туристичного збору до бюджету ВМОТГ</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тис. грн</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850,0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1400,0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1700,0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2400,0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4.</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відвідувачів міста</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осіб, приблизно</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87 000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110 000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140 000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185 000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відвідувачів туристично-інформаційних центрів/пунктів</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осіб</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 xml:space="preserve"> 200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4500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7000</w:t>
            </w:r>
          </w:p>
        </w:tc>
      </w:tr>
      <w:tr w:rsidR="009B3A7B" w:rsidRPr="009B3A7B" w:rsidTr="000F742D">
        <w:trPr>
          <w:trHeight w:val="64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lastRenderedPageBreak/>
              <w:t>6.</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відвідувачів туристично-орієнтованих музеїв</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осіб</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80 000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150 000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250 000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450 000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0F742D" w:rsidP="000F742D">
            <w:pPr>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7.</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заходів із популяризації м. Вінниці як туристичного центру Подільського регіону, із них міжнародних</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48, міжнародних - 0 </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60, міжнародних - 3</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80, міжнародних - 4</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100, міжнародних - 5</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унікальних відвідувачів офіційного туристичного сайту</w:t>
            </w:r>
          </w:p>
          <w:p w:rsidR="009B3A7B" w:rsidRPr="009B3A7B" w:rsidRDefault="009B3A7B" w:rsidP="000F742D">
            <w:pPr>
              <w:rPr>
                <w:rFonts w:ascii="Times New Roman" w:hAnsi="Times New Roman" w:cs="Times New Roman"/>
                <w:spacing w:val="-1"/>
                <w:sz w:val="28"/>
                <w:szCs w:val="28"/>
                <w:lang w:val="uk-UA"/>
              </w:rPr>
            </w:pP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осіб</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2500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10000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18000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9.</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підписників туристичних сторінок Visit Vinnytsia у соціальних мережах</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осіб</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FB:</w:t>
            </w:r>
          </w:p>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5000 підписників</w:t>
            </w:r>
            <w:r w:rsidR="000F742D">
              <w:rPr>
                <w:rFonts w:ascii="Times New Roman" w:hAnsi="Times New Roman" w:cs="Times New Roman"/>
                <w:spacing w:val="-1"/>
                <w:sz w:val="28"/>
                <w:szCs w:val="28"/>
                <w:lang w:val="uk-UA"/>
              </w:rPr>
              <w:t xml:space="preserve"> </w:t>
            </w:r>
            <w:r w:rsidRPr="009B3A7B">
              <w:rPr>
                <w:rFonts w:ascii="Times New Roman" w:hAnsi="Times New Roman" w:cs="Times New Roman"/>
                <w:spacing w:val="-1"/>
                <w:sz w:val="28"/>
                <w:szCs w:val="28"/>
                <w:lang w:val="uk-UA"/>
              </w:rPr>
              <w:t>Instagram: 1300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FB:</w:t>
            </w:r>
          </w:p>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8000 підписників</w:t>
            </w:r>
            <w:r w:rsidR="000F742D">
              <w:rPr>
                <w:rFonts w:ascii="Times New Roman" w:hAnsi="Times New Roman" w:cs="Times New Roman"/>
                <w:spacing w:val="-1"/>
                <w:sz w:val="28"/>
                <w:szCs w:val="28"/>
                <w:lang w:val="uk-UA"/>
              </w:rPr>
              <w:t xml:space="preserve"> </w:t>
            </w:r>
            <w:r w:rsidRPr="009B3A7B">
              <w:rPr>
                <w:rFonts w:ascii="Times New Roman" w:hAnsi="Times New Roman" w:cs="Times New Roman"/>
                <w:spacing w:val="-1"/>
                <w:sz w:val="28"/>
                <w:szCs w:val="28"/>
                <w:lang w:val="uk-UA"/>
              </w:rPr>
              <w:t>Instagram: 2500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FB:</w:t>
            </w:r>
          </w:p>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13000 підписників</w:t>
            </w:r>
            <w:r w:rsidR="000F742D">
              <w:rPr>
                <w:rFonts w:ascii="Times New Roman" w:hAnsi="Times New Roman" w:cs="Times New Roman"/>
                <w:spacing w:val="-1"/>
                <w:sz w:val="28"/>
                <w:szCs w:val="28"/>
                <w:lang w:val="uk-UA"/>
              </w:rPr>
              <w:t xml:space="preserve"> </w:t>
            </w:r>
            <w:r w:rsidRPr="009B3A7B">
              <w:rPr>
                <w:rFonts w:ascii="Times New Roman" w:hAnsi="Times New Roman" w:cs="Times New Roman"/>
                <w:spacing w:val="-1"/>
                <w:sz w:val="28"/>
                <w:szCs w:val="28"/>
                <w:lang w:val="uk-UA"/>
              </w:rPr>
              <w:t>Instagram: 4000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FB:</w:t>
            </w:r>
          </w:p>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21000 підписників</w:t>
            </w:r>
            <w:r w:rsidR="000F742D">
              <w:rPr>
                <w:rFonts w:ascii="Times New Roman" w:hAnsi="Times New Roman" w:cs="Times New Roman"/>
                <w:spacing w:val="-1"/>
                <w:sz w:val="28"/>
                <w:szCs w:val="28"/>
                <w:lang w:val="uk-UA"/>
              </w:rPr>
              <w:t xml:space="preserve"> </w:t>
            </w:r>
            <w:r w:rsidRPr="009B3A7B">
              <w:rPr>
                <w:rFonts w:ascii="Times New Roman" w:hAnsi="Times New Roman" w:cs="Times New Roman"/>
                <w:spacing w:val="-1"/>
                <w:sz w:val="28"/>
                <w:szCs w:val="28"/>
                <w:lang w:val="uk-UA"/>
              </w:rPr>
              <w:t>Instagram: 6000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10.</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одиниць туристичної навігації</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19</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42</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11. </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 xml:space="preserve">Кількість проведених навчальних заходів для суб’єктів </w:t>
            </w:r>
            <w:r w:rsidRPr="009B3A7B">
              <w:rPr>
                <w:rFonts w:ascii="Times New Roman" w:hAnsi="Times New Roman" w:cs="Times New Roman"/>
                <w:spacing w:val="-1"/>
                <w:sz w:val="28"/>
                <w:szCs w:val="28"/>
                <w:lang w:val="uk-UA"/>
              </w:rPr>
              <w:lastRenderedPageBreak/>
              <w:t>туристичної діяльності</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lastRenderedPageBreak/>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5 </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12.</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проведених професійних заходів для туристичного бізнесу</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5</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6</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7</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13</w:t>
            </w:r>
          </w:p>
          <w:p w:rsidR="009B3A7B" w:rsidRPr="009B3A7B" w:rsidRDefault="009B3A7B" w:rsidP="000F742D">
            <w:pPr>
              <w:rPr>
                <w:rFonts w:ascii="Times New Roman" w:hAnsi="Times New Roman" w:cs="Times New Roman"/>
                <w:spacing w:val="-1"/>
                <w:sz w:val="28"/>
                <w:szCs w:val="28"/>
                <w:lang w:val="uk-UA"/>
              </w:rPr>
            </w:pP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закладів готельно-ресторанного бізнесу</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343</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350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360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370</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14</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унікальних турів до Вінниці, що включають ночівлю</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од.</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22</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25</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27</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32</w:t>
            </w:r>
          </w:p>
        </w:tc>
      </w:tr>
      <w:tr w:rsidR="009B3A7B" w:rsidRPr="009B3A7B" w:rsidTr="000F742D">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15</w:t>
            </w:r>
          </w:p>
        </w:tc>
        <w:tc>
          <w:tcPr>
            <w:tcW w:w="17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Кількість розданих туристичних промоційних матеріалів</w:t>
            </w:r>
          </w:p>
        </w:tc>
        <w:tc>
          <w:tcPr>
            <w:tcW w:w="12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шт.</w:t>
            </w:r>
          </w:p>
        </w:tc>
        <w:tc>
          <w:tcPr>
            <w:tcW w:w="19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8000</w:t>
            </w:r>
          </w:p>
        </w:tc>
        <w:tc>
          <w:tcPr>
            <w:tcW w:w="11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10000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12000</w:t>
            </w:r>
          </w:p>
        </w:tc>
        <w:tc>
          <w:tcPr>
            <w:tcW w:w="15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9B3A7B" w:rsidRPr="009B3A7B" w:rsidRDefault="009B3A7B" w:rsidP="000F742D">
            <w:pPr>
              <w:rPr>
                <w:rFonts w:ascii="Times New Roman" w:hAnsi="Times New Roman" w:cs="Times New Roman"/>
                <w:spacing w:val="-1"/>
                <w:sz w:val="28"/>
                <w:szCs w:val="28"/>
                <w:lang w:val="uk-UA"/>
              </w:rPr>
            </w:pPr>
            <w:r w:rsidRPr="009B3A7B">
              <w:rPr>
                <w:rFonts w:ascii="Times New Roman" w:hAnsi="Times New Roman" w:cs="Times New Roman"/>
                <w:spacing w:val="-1"/>
                <w:sz w:val="28"/>
                <w:szCs w:val="28"/>
                <w:lang w:val="uk-UA"/>
              </w:rPr>
              <w:t>14000</w:t>
            </w:r>
          </w:p>
        </w:tc>
      </w:tr>
    </w:tbl>
    <w:p w:rsidR="009B3A7B" w:rsidRDefault="009B3A7B" w:rsidP="009B3A7B">
      <w:pPr>
        <w:spacing w:before="240" w:after="240"/>
        <w:rPr>
          <w:spacing w:val="-1"/>
          <w:lang w:val="uk-UA"/>
        </w:rPr>
      </w:pPr>
    </w:p>
    <w:p w:rsidR="001A484E" w:rsidRDefault="001A484E" w:rsidP="001A484E">
      <w:pPr>
        <w:pStyle w:val="a3"/>
        <w:spacing w:before="42"/>
        <w:ind w:left="0" w:firstLine="0"/>
        <w:rPr>
          <w:spacing w:val="-1"/>
          <w:lang w:val="uk-UA"/>
        </w:rPr>
        <w:sectPr w:rsidR="001A484E" w:rsidSect="001F1B12">
          <w:pgSz w:w="11910" w:h="16840"/>
          <w:pgMar w:top="1135" w:right="601" w:bottom="1276" w:left="1599" w:header="709" w:footer="709" w:gutter="0"/>
          <w:cols w:space="720"/>
        </w:sectPr>
      </w:pPr>
    </w:p>
    <w:p w:rsidR="00946A47" w:rsidRDefault="00946A47" w:rsidP="0034650A">
      <w:pPr>
        <w:pStyle w:val="a3"/>
        <w:spacing w:before="2"/>
        <w:ind w:left="11199" w:firstLine="0"/>
        <w:rPr>
          <w:spacing w:val="-3"/>
          <w:lang w:val="ru-RU"/>
        </w:rPr>
      </w:pPr>
    </w:p>
    <w:p w:rsidR="0034650A" w:rsidRDefault="0034650A">
      <w:pPr>
        <w:rPr>
          <w:rFonts w:ascii="Times New Roman" w:eastAsia="Times New Roman" w:hAnsi="Times New Roman"/>
          <w:spacing w:val="-1"/>
          <w:sz w:val="28"/>
          <w:szCs w:val="28"/>
          <w:lang w:val="uk-UA"/>
        </w:rPr>
      </w:pPr>
    </w:p>
    <w:p w:rsidR="00721FC5" w:rsidRPr="009C4103" w:rsidRDefault="00721FC5" w:rsidP="00721FC5">
      <w:pPr>
        <w:pStyle w:val="a3"/>
        <w:ind w:left="0" w:firstLine="0"/>
        <w:rPr>
          <w:spacing w:val="-1"/>
          <w:lang w:val="uk-UA"/>
        </w:rPr>
      </w:pPr>
      <w:r w:rsidRPr="009C4103">
        <w:rPr>
          <w:spacing w:val="-1"/>
          <w:lang w:val="uk-UA"/>
        </w:rPr>
        <w:t xml:space="preserve">Департамент маркетингу міста та туризму </w:t>
      </w:r>
    </w:p>
    <w:p w:rsidR="00721FC5" w:rsidRPr="009C4103" w:rsidRDefault="00721FC5" w:rsidP="00721FC5">
      <w:pPr>
        <w:pStyle w:val="a3"/>
        <w:ind w:left="0" w:firstLine="0"/>
        <w:rPr>
          <w:spacing w:val="-1"/>
          <w:lang w:val="uk-UA"/>
        </w:rPr>
      </w:pPr>
      <w:r w:rsidRPr="009C4103">
        <w:rPr>
          <w:spacing w:val="-1"/>
          <w:lang w:val="uk-UA"/>
        </w:rPr>
        <w:t xml:space="preserve">Відділ </w:t>
      </w:r>
      <w:r w:rsidR="00AA745D" w:rsidRPr="009C4103">
        <w:rPr>
          <w:spacing w:val="-1"/>
          <w:lang w:val="uk-UA"/>
        </w:rPr>
        <w:t>розвитку туризму</w:t>
      </w:r>
      <w:r w:rsidRPr="009C4103">
        <w:rPr>
          <w:spacing w:val="-1"/>
          <w:lang w:val="uk-UA"/>
        </w:rPr>
        <w:t xml:space="preserve"> </w:t>
      </w:r>
    </w:p>
    <w:p w:rsidR="00E30FAA" w:rsidRPr="009C4103" w:rsidRDefault="00E30FAA" w:rsidP="00721FC5">
      <w:pPr>
        <w:pStyle w:val="a3"/>
        <w:ind w:left="0" w:firstLine="0"/>
        <w:rPr>
          <w:spacing w:val="-1"/>
          <w:lang w:val="uk-UA"/>
        </w:rPr>
      </w:pPr>
    </w:p>
    <w:p w:rsidR="00721FC5" w:rsidRPr="009C4103" w:rsidRDefault="00AA745D" w:rsidP="00721FC5">
      <w:pPr>
        <w:pStyle w:val="a3"/>
        <w:ind w:left="0" w:firstLine="0"/>
        <w:rPr>
          <w:spacing w:val="-1"/>
          <w:lang w:val="uk-UA"/>
        </w:rPr>
      </w:pPr>
      <w:r w:rsidRPr="009C4103">
        <w:rPr>
          <w:spacing w:val="-1"/>
          <w:lang w:val="uk-UA"/>
        </w:rPr>
        <w:t>Мазурик Віктор Станіславович</w:t>
      </w:r>
      <w:r w:rsidR="00721FC5" w:rsidRPr="009C4103">
        <w:rPr>
          <w:spacing w:val="-1"/>
          <w:lang w:val="uk-UA"/>
        </w:rPr>
        <w:t xml:space="preserve"> </w:t>
      </w:r>
    </w:p>
    <w:p w:rsidR="00946A47" w:rsidRPr="009C4103" w:rsidRDefault="00AA745D" w:rsidP="00721FC5">
      <w:pPr>
        <w:pStyle w:val="a3"/>
        <w:ind w:left="0" w:firstLine="0"/>
        <w:rPr>
          <w:spacing w:val="-1"/>
          <w:lang w:val="uk-UA"/>
        </w:rPr>
      </w:pPr>
      <w:r w:rsidRPr="009C4103">
        <w:rPr>
          <w:spacing w:val="-1"/>
          <w:lang w:val="uk-UA"/>
        </w:rPr>
        <w:t>заступник начальника відділу</w:t>
      </w:r>
    </w:p>
    <w:sectPr w:rsidR="00946A47" w:rsidRPr="009C4103" w:rsidSect="0034650A">
      <w:pgSz w:w="11910" w:h="16840"/>
      <w:pgMar w:top="499" w:right="601" w:bottom="278" w:left="1599"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60A"/>
    <w:multiLevelType w:val="multilevel"/>
    <w:tmpl w:val="96B2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61587"/>
    <w:multiLevelType w:val="multilevel"/>
    <w:tmpl w:val="46F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75FEA"/>
    <w:multiLevelType w:val="multilevel"/>
    <w:tmpl w:val="D7A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77F59"/>
    <w:multiLevelType w:val="multilevel"/>
    <w:tmpl w:val="889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93F7B"/>
    <w:multiLevelType w:val="hybridMultilevel"/>
    <w:tmpl w:val="08A01A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B11A6E"/>
    <w:multiLevelType w:val="multilevel"/>
    <w:tmpl w:val="6540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3F2303"/>
    <w:multiLevelType w:val="multilevel"/>
    <w:tmpl w:val="E0A48806"/>
    <w:lvl w:ilvl="0">
      <w:start w:val="1"/>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053A77"/>
    <w:multiLevelType w:val="hybridMultilevel"/>
    <w:tmpl w:val="DEBA1740"/>
    <w:lvl w:ilvl="0" w:tplc="C8526D9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22D6D05"/>
    <w:multiLevelType w:val="hybridMultilevel"/>
    <w:tmpl w:val="4902637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7ADC24B7"/>
    <w:multiLevelType w:val="multilevel"/>
    <w:tmpl w:val="70DE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9"/>
    <w:lvlOverride w:ilvl="0">
      <w:lvl w:ilvl="0">
        <w:numFmt w:val="decimal"/>
        <w:lvlText w:val="%1."/>
        <w:lvlJc w:val="left"/>
      </w:lvl>
    </w:lvlOverride>
  </w:num>
  <w:num w:numId="7">
    <w:abstractNumId w:val="9"/>
    <w:lvlOverride w:ilvl="0">
      <w:lvl w:ilvl="0">
        <w:numFmt w:val="decimal"/>
        <w:lvlText w:val="%1."/>
        <w:lvlJc w:val="left"/>
      </w:lvl>
    </w:lvlOverride>
  </w:num>
  <w:num w:numId="8">
    <w:abstractNumId w:val="9"/>
    <w:lvlOverride w:ilvl="0">
      <w:lvl w:ilvl="0">
        <w:numFmt w:val="decimal"/>
        <w:lvlText w:val="%1."/>
        <w:lvlJc w:val="left"/>
      </w:lvl>
    </w:lvlOverride>
  </w:num>
  <w:num w:numId="9">
    <w:abstractNumId w:val="3"/>
  </w:num>
  <w:num w:numId="10">
    <w:abstractNumId w:val="6"/>
  </w:num>
  <w:num w:numId="11">
    <w:abstractNumId w:val="1"/>
  </w:num>
  <w:num w:numId="12">
    <w:abstractNumId w:val="8"/>
  </w:num>
  <w:num w:numId="13">
    <w:abstractNumId w:val="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ru-RU" w:vendorID="64" w:dllVersion="131078" w:nlCheck="1" w:checkStyle="0"/>
  <w:activeWritingStyle w:appName="MSWord" w:lang="en-US" w:vendorID="64" w:dllVersion="131078" w:nlCheck="1" w:checkStyle="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47"/>
    <w:rsid w:val="00007BBC"/>
    <w:rsid w:val="00017617"/>
    <w:rsid w:val="00043950"/>
    <w:rsid w:val="00055D93"/>
    <w:rsid w:val="00060970"/>
    <w:rsid w:val="000837C2"/>
    <w:rsid w:val="000C13F0"/>
    <w:rsid w:val="000E3CF3"/>
    <w:rsid w:val="000F1F9C"/>
    <w:rsid w:val="000F742D"/>
    <w:rsid w:val="001210D4"/>
    <w:rsid w:val="00123DF7"/>
    <w:rsid w:val="00124511"/>
    <w:rsid w:val="00141870"/>
    <w:rsid w:val="001475D8"/>
    <w:rsid w:val="00172BA2"/>
    <w:rsid w:val="00175FF7"/>
    <w:rsid w:val="00180C74"/>
    <w:rsid w:val="00186F20"/>
    <w:rsid w:val="001917CB"/>
    <w:rsid w:val="001A484E"/>
    <w:rsid w:val="001C03F4"/>
    <w:rsid w:val="001D16D0"/>
    <w:rsid w:val="001D57D3"/>
    <w:rsid w:val="001F1B12"/>
    <w:rsid w:val="002047C8"/>
    <w:rsid w:val="00206621"/>
    <w:rsid w:val="00226A5B"/>
    <w:rsid w:val="00236E2A"/>
    <w:rsid w:val="00245A73"/>
    <w:rsid w:val="00284CBD"/>
    <w:rsid w:val="00284E8E"/>
    <w:rsid w:val="00286187"/>
    <w:rsid w:val="002923A5"/>
    <w:rsid w:val="002C0FFC"/>
    <w:rsid w:val="002C4D18"/>
    <w:rsid w:val="002D2A0E"/>
    <w:rsid w:val="002D2C52"/>
    <w:rsid w:val="003009CC"/>
    <w:rsid w:val="00344C78"/>
    <w:rsid w:val="0034650A"/>
    <w:rsid w:val="003502AD"/>
    <w:rsid w:val="00352999"/>
    <w:rsid w:val="00356078"/>
    <w:rsid w:val="00362C53"/>
    <w:rsid w:val="0036372B"/>
    <w:rsid w:val="00376EA3"/>
    <w:rsid w:val="003C686D"/>
    <w:rsid w:val="003E0C07"/>
    <w:rsid w:val="003E6F48"/>
    <w:rsid w:val="003F5AA6"/>
    <w:rsid w:val="003F6E47"/>
    <w:rsid w:val="0040412D"/>
    <w:rsid w:val="004452BE"/>
    <w:rsid w:val="00453017"/>
    <w:rsid w:val="004859F2"/>
    <w:rsid w:val="004960E7"/>
    <w:rsid w:val="00516A84"/>
    <w:rsid w:val="00535078"/>
    <w:rsid w:val="00541C8B"/>
    <w:rsid w:val="00554DDD"/>
    <w:rsid w:val="00593722"/>
    <w:rsid w:val="00595049"/>
    <w:rsid w:val="005A009C"/>
    <w:rsid w:val="005C39C2"/>
    <w:rsid w:val="005D581E"/>
    <w:rsid w:val="005D5C35"/>
    <w:rsid w:val="005F1ACD"/>
    <w:rsid w:val="005F23E7"/>
    <w:rsid w:val="00632C0C"/>
    <w:rsid w:val="00643E52"/>
    <w:rsid w:val="00671053"/>
    <w:rsid w:val="00671273"/>
    <w:rsid w:val="00671B49"/>
    <w:rsid w:val="00673C9D"/>
    <w:rsid w:val="006A3F31"/>
    <w:rsid w:val="006B4E3C"/>
    <w:rsid w:val="006C18DB"/>
    <w:rsid w:val="006F3634"/>
    <w:rsid w:val="006F5227"/>
    <w:rsid w:val="00714975"/>
    <w:rsid w:val="00721FC5"/>
    <w:rsid w:val="00746572"/>
    <w:rsid w:val="0077150C"/>
    <w:rsid w:val="007744B2"/>
    <w:rsid w:val="00795548"/>
    <w:rsid w:val="007E2741"/>
    <w:rsid w:val="00855F76"/>
    <w:rsid w:val="0087446E"/>
    <w:rsid w:val="008B00AB"/>
    <w:rsid w:val="008B43EA"/>
    <w:rsid w:val="008B5F77"/>
    <w:rsid w:val="008C2435"/>
    <w:rsid w:val="008C6706"/>
    <w:rsid w:val="008C6BE2"/>
    <w:rsid w:val="008D6685"/>
    <w:rsid w:val="00914121"/>
    <w:rsid w:val="0092706B"/>
    <w:rsid w:val="00946A47"/>
    <w:rsid w:val="00977853"/>
    <w:rsid w:val="009A0701"/>
    <w:rsid w:val="009A619C"/>
    <w:rsid w:val="009B3A7B"/>
    <w:rsid w:val="009B56D6"/>
    <w:rsid w:val="009C0FE9"/>
    <w:rsid w:val="009C4103"/>
    <w:rsid w:val="009D367C"/>
    <w:rsid w:val="009F2079"/>
    <w:rsid w:val="00A12844"/>
    <w:rsid w:val="00A7515D"/>
    <w:rsid w:val="00A96892"/>
    <w:rsid w:val="00AA745D"/>
    <w:rsid w:val="00AB3EB7"/>
    <w:rsid w:val="00AD784A"/>
    <w:rsid w:val="00B13390"/>
    <w:rsid w:val="00B20578"/>
    <w:rsid w:val="00B37FCB"/>
    <w:rsid w:val="00B46195"/>
    <w:rsid w:val="00B73C03"/>
    <w:rsid w:val="00BD54DB"/>
    <w:rsid w:val="00BF3C2B"/>
    <w:rsid w:val="00C04097"/>
    <w:rsid w:val="00C05D73"/>
    <w:rsid w:val="00C12B5A"/>
    <w:rsid w:val="00C53419"/>
    <w:rsid w:val="00C73443"/>
    <w:rsid w:val="00C92E0F"/>
    <w:rsid w:val="00CD5A64"/>
    <w:rsid w:val="00CE189A"/>
    <w:rsid w:val="00CF0FA2"/>
    <w:rsid w:val="00D05AB9"/>
    <w:rsid w:val="00D10593"/>
    <w:rsid w:val="00D40469"/>
    <w:rsid w:val="00D46020"/>
    <w:rsid w:val="00D47204"/>
    <w:rsid w:val="00D54FCA"/>
    <w:rsid w:val="00D55966"/>
    <w:rsid w:val="00D6268A"/>
    <w:rsid w:val="00DF16C5"/>
    <w:rsid w:val="00DF5A15"/>
    <w:rsid w:val="00DF5FCA"/>
    <w:rsid w:val="00DF6071"/>
    <w:rsid w:val="00E00EC4"/>
    <w:rsid w:val="00E16A54"/>
    <w:rsid w:val="00E30FAA"/>
    <w:rsid w:val="00E4455A"/>
    <w:rsid w:val="00E7358E"/>
    <w:rsid w:val="00E73D94"/>
    <w:rsid w:val="00E80888"/>
    <w:rsid w:val="00E8330F"/>
    <w:rsid w:val="00EB5963"/>
    <w:rsid w:val="00ED0A52"/>
    <w:rsid w:val="00ED3931"/>
    <w:rsid w:val="00EF26FC"/>
    <w:rsid w:val="00F45310"/>
    <w:rsid w:val="00F57477"/>
    <w:rsid w:val="00F651B3"/>
    <w:rsid w:val="00F87970"/>
    <w:rsid w:val="00F92297"/>
    <w:rsid w:val="00FA4628"/>
    <w:rsid w:val="00FC0F64"/>
    <w:rsid w:val="00FC5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856A"/>
  <w15:docId w15:val="{F5FD4565-25ED-475F-AA3B-98AA1BEE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842" w:hanging="360"/>
      <w:outlineLvl w:val="0"/>
    </w:pPr>
    <w:rPr>
      <w:rFonts w:ascii="Times New Roman" w:eastAsia="Times New Roman" w:hAnsi="Times New Roman"/>
      <w:b/>
      <w:bCs/>
      <w:sz w:val="32"/>
      <w:szCs w:val="32"/>
    </w:rPr>
  </w:style>
  <w:style w:type="paragraph" w:styleId="2">
    <w:name w:val="heading 2"/>
    <w:basedOn w:val="a"/>
    <w:uiPriority w:val="1"/>
    <w:qFormat/>
    <w:pPr>
      <w:ind w:left="102"/>
      <w:outlineLvl w:val="1"/>
    </w:pPr>
    <w:rPr>
      <w:rFonts w:ascii="Times New Roman" w:eastAsia="Times New Roman" w:hAnsi="Times New Roman"/>
      <w:b/>
      <w:bCs/>
      <w:sz w:val="28"/>
      <w:szCs w:val="28"/>
    </w:rPr>
  </w:style>
  <w:style w:type="paragraph" w:styleId="3">
    <w:name w:val="heading 3"/>
    <w:basedOn w:val="a"/>
    <w:uiPriority w:val="1"/>
    <w:qFormat/>
    <w:pPr>
      <w:ind w:left="102"/>
      <w:outlineLvl w:val="2"/>
    </w:pPr>
    <w:rPr>
      <w:rFonts w:ascii="Times New Roman" w:eastAsia="Times New Roman" w:hAnsi="Times New Roman"/>
      <w:b/>
      <w:bCs/>
      <w: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02"/>
    </w:pPr>
    <w:rPr>
      <w:rFonts w:ascii="Times New Roman" w:eastAsia="Times New Roman" w:hAnsi="Times New Roman"/>
      <w:sz w:val="28"/>
      <w:szCs w:val="28"/>
    </w:rPr>
  </w:style>
  <w:style w:type="paragraph" w:styleId="a3">
    <w:name w:val="Body Text"/>
    <w:basedOn w:val="a"/>
    <w:link w:val="a4"/>
    <w:uiPriority w:val="1"/>
    <w:qFormat/>
    <w:pPr>
      <w:ind w:left="102" w:firstLine="707"/>
    </w:pPr>
    <w:rPr>
      <w:rFonts w:ascii="Times New Roman" w:eastAsia="Times New Roman" w:hAnsi="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character" w:customStyle="1" w:styleId="a6">
    <w:name w:val="Абзац списку Знак"/>
    <w:basedOn w:val="a0"/>
    <w:link w:val="a5"/>
    <w:uiPriority w:val="34"/>
    <w:locked/>
    <w:rsid w:val="00535078"/>
  </w:style>
  <w:style w:type="character" w:customStyle="1" w:styleId="a4">
    <w:name w:val="Основний текст Знак"/>
    <w:basedOn w:val="a0"/>
    <w:link w:val="a3"/>
    <w:uiPriority w:val="1"/>
    <w:rsid w:val="001A484E"/>
    <w:rPr>
      <w:rFonts w:ascii="Times New Roman" w:eastAsia="Times New Roman" w:hAnsi="Times New Roman"/>
      <w:sz w:val="28"/>
      <w:szCs w:val="28"/>
    </w:rPr>
  </w:style>
  <w:style w:type="paragraph" w:styleId="a7">
    <w:name w:val="Balloon Text"/>
    <w:basedOn w:val="a"/>
    <w:link w:val="a8"/>
    <w:uiPriority w:val="99"/>
    <w:semiHidden/>
    <w:unhideWhenUsed/>
    <w:rsid w:val="003E0C07"/>
    <w:rPr>
      <w:rFonts w:ascii="Segoe UI" w:hAnsi="Segoe UI" w:cs="Segoe UI"/>
      <w:sz w:val="18"/>
      <w:szCs w:val="18"/>
    </w:rPr>
  </w:style>
  <w:style w:type="character" w:customStyle="1" w:styleId="a8">
    <w:name w:val="Текст у виносці Знак"/>
    <w:basedOn w:val="a0"/>
    <w:link w:val="a7"/>
    <w:uiPriority w:val="99"/>
    <w:semiHidden/>
    <w:rsid w:val="003E0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018">
      <w:bodyDiv w:val="1"/>
      <w:marLeft w:val="0"/>
      <w:marRight w:val="0"/>
      <w:marTop w:val="0"/>
      <w:marBottom w:val="0"/>
      <w:divBdr>
        <w:top w:val="none" w:sz="0" w:space="0" w:color="auto"/>
        <w:left w:val="none" w:sz="0" w:space="0" w:color="auto"/>
        <w:bottom w:val="none" w:sz="0" w:space="0" w:color="auto"/>
        <w:right w:val="none" w:sz="0" w:space="0" w:color="auto"/>
      </w:divBdr>
    </w:div>
    <w:div w:id="293878582">
      <w:bodyDiv w:val="1"/>
      <w:marLeft w:val="0"/>
      <w:marRight w:val="0"/>
      <w:marTop w:val="0"/>
      <w:marBottom w:val="0"/>
      <w:divBdr>
        <w:top w:val="none" w:sz="0" w:space="0" w:color="auto"/>
        <w:left w:val="none" w:sz="0" w:space="0" w:color="auto"/>
        <w:bottom w:val="none" w:sz="0" w:space="0" w:color="auto"/>
        <w:right w:val="none" w:sz="0" w:space="0" w:color="auto"/>
      </w:divBdr>
    </w:div>
    <w:div w:id="409815150">
      <w:bodyDiv w:val="1"/>
      <w:marLeft w:val="0"/>
      <w:marRight w:val="0"/>
      <w:marTop w:val="0"/>
      <w:marBottom w:val="0"/>
      <w:divBdr>
        <w:top w:val="none" w:sz="0" w:space="0" w:color="auto"/>
        <w:left w:val="none" w:sz="0" w:space="0" w:color="auto"/>
        <w:bottom w:val="none" w:sz="0" w:space="0" w:color="auto"/>
        <w:right w:val="none" w:sz="0" w:space="0" w:color="auto"/>
      </w:divBdr>
      <w:divsChild>
        <w:div w:id="638730438">
          <w:marLeft w:val="-810"/>
          <w:marRight w:val="0"/>
          <w:marTop w:val="0"/>
          <w:marBottom w:val="0"/>
          <w:divBdr>
            <w:top w:val="none" w:sz="0" w:space="0" w:color="auto"/>
            <w:left w:val="none" w:sz="0" w:space="0" w:color="auto"/>
            <w:bottom w:val="none" w:sz="0" w:space="0" w:color="auto"/>
            <w:right w:val="none" w:sz="0" w:space="0" w:color="auto"/>
          </w:divBdr>
        </w:div>
      </w:divsChild>
    </w:div>
    <w:div w:id="915283600">
      <w:bodyDiv w:val="1"/>
      <w:marLeft w:val="0"/>
      <w:marRight w:val="0"/>
      <w:marTop w:val="0"/>
      <w:marBottom w:val="0"/>
      <w:divBdr>
        <w:top w:val="none" w:sz="0" w:space="0" w:color="auto"/>
        <w:left w:val="none" w:sz="0" w:space="0" w:color="auto"/>
        <w:bottom w:val="none" w:sz="0" w:space="0" w:color="auto"/>
        <w:right w:val="none" w:sz="0" w:space="0" w:color="auto"/>
      </w:divBdr>
      <w:divsChild>
        <w:div w:id="268901536">
          <w:marLeft w:val="-100"/>
          <w:marRight w:val="0"/>
          <w:marTop w:val="0"/>
          <w:marBottom w:val="0"/>
          <w:divBdr>
            <w:top w:val="none" w:sz="0" w:space="0" w:color="auto"/>
            <w:left w:val="none" w:sz="0" w:space="0" w:color="auto"/>
            <w:bottom w:val="none" w:sz="0" w:space="0" w:color="auto"/>
            <w:right w:val="none" w:sz="0" w:space="0" w:color="auto"/>
          </w:divBdr>
        </w:div>
      </w:divsChild>
    </w:div>
    <w:div w:id="1198393156">
      <w:bodyDiv w:val="1"/>
      <w:marLeft w:val="0"/>
      <w:marRight w:val="0"/>
      <w:marTop w:val="0"/>
      <w:marBottom w:val="0"/>
      <w:divBdr>
        <w:top w:val="none" w:sz="0" w:space="0" w:color="auto"/>
        <w:left w:val="none" w:sz="0" w:space="0" w:color="auto"/>
        <w:bottom w:val="none" w:sz="0" w:space="0" w:color="auto"/>
        <w:right w:val="none" w:sz="0" w:space="0" w:color="auto"/>
      </w:divBdr>
    </w:div>
    <w:div w:id="1473981211">
      <w:bodyDiv w:val="1"/>
      <w:marLeft w:val="0"/>
      <w:marRight w:val="0"/>
      <w:marTop w:val="0"/>
      <w:marBottom w:val="0"/>
      <w:divBdr>
        <w:top w:val="none" w:sz="0" w:space="0" w:color="auto"/>
        <w:left w:val="none" w:sz="0" w:space="0" w:color="auto"/>
        <w:bottom w:val="none" w:sz="0" w:space="0" w:color="auto"/>
        <w:right w:val="none" w:sz="0" w:space="0" w:color="auto"/>
      </w:divBdr>
      <w:divsChild>
        <w:div w:id="502088471">
          <w:marLeft w:val="-814"/>
          <w:marRight w:val="0"/>
          <w:marTop w:val="0"/>
          <w:marBottom w:val="0"/>
          <w:divBdr>
            <w:top w:val="none" w:sz="0" w:space="0" w:color="auto"/>
            <w:left w:val="none" w:sz="0" w:space="0" w:color="auto"/>
            <w:bottom w:val="none" w:sz="0" w:space="0" w:color="auto"/>
            <w:right w:val="none" w:sz="0" w:space="0" w:color="auto"/>
          </w:divBdr>
        </w:div>
      </w:divsChild>
    </w:div>
    <w:div w:id="1499610535">
      <w:bodyDiv w:val="1"/>
      <w:marLeft w:val="0"/>
      <w:marRight w:val="0"/>
      <w:marTop w:val="0"/>
      <w:marBottom w:val="0"/>
      <w:divBdr>
        <w:top w:val="none" w:sz="0" w:space="0" w:color="auto"/>
        <w:left w:val="none" w:sz="0" w:space="0" w:color="auto"/>
        <w:bottom w:val="none" w:sz="0" w:space="0" w:color="auto"/>
        <w:right w:val="none" w:sz="0" w:space="0" w:color="auto"/>
      </w:divBdr>
      <w:divsChild>
        <w:div w:id="793669424">
          <w:marLeft w:val="-100"/>
          <w:marRight w:val="0"/>
          <w:marTop w:val="0"/>
          <w:marBottom w:val="0"/>
          <w:divBdr>
            <w:top w:val="none" w:sz="0" w:space="0" w:color="auto"/>
            <w:left w:val="none" w:sz="0" w:space="0" w:color="auto"/>
            <w:bottom w:val="none" w:sz="0" w:space="0" w:color="auto"/>
            <w:right w:val="none" w:sz="0" w:space="0" w:color="auto"/>
          </w:divBdr>
        </w:div>
        <w:div w:id="1453592099">
          <w:marLeft w:val="-69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B22A8A7686AFA499E3FB2F96D9161ED" ma:contentTypeVersion="1" ma:contentTypeDescription="Створення нового документа." ma:contentTypeScope="" ma:versionID="61d89c9054d94e9879befc57d115af80">
  <xsd:schema xmlns:xsd="http://www.w3.org/2001/XMLSchema" xmlns:xs="http://www.w3.org/2001/XMLSchema" xmlns:p="http://schemas.microsoft.com/office/2006/metadata/properties" xmlns:ns2="48f22b61-280a-4072-9632-485e92ad8c5e" targetNamespace="http://schemas.microsoft.com/office/2006/metadata/properties" ma:root="true" ma:fieldsID="c827b1f3847b008b6914c5342f9ebd7f" ns2:_="">
    <xsd:import namespace="48f22b61-280a-4072-9632-485e92ad8c5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22b61-280a-4072-9632-485e92ad8c5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8f22b61-280a-4072-9632-485e92ad8c5e">AVDMNZEXTWN6-9-48789</_dlc_DocId>
    <_dlc_DocIdUrl xmlns="48f22b61-280a-4072-9632-485e92ad8c5e">
      <Url>http://dppya.vmr.gov.ua/_layouts/DocIdRedir.aspx?ID=AVDMNZEXTWN6-9-48789</Url>
      <Description>AVDMNZEXTWN6-9-48789</Description>
    </_dlc_DocIdUrl>
  </documentManagement>
</p:properties>
</file>

<file path=customXml/itemProps1.xml><?xml version="1.0" encoding="utf-8"?>
<ds:datastoreItem xmlns:ds="http://schemas.openxmlformats.org/officeDocument/2006/customXml" ds:itemID="{C25C4BEC-2EC6-4B9F-9D08-20EB7B7E0F62}"/>
</file>

<file path=customXml/itemProps2.xml><?xml version="1.0" encoding="utf-8"?>
<ds:datastoreItem xmlns:ds="http://schemas.openxmlformats.org/officeDocument/2006/customXml" ds:itemID="{086AB649-BD00-4365-90BB-A9D7A39BB975}"/>
</file>

<file path=customXml/itemProps3.xml><?xml version="1.0" encoding="utf-8"?>
<ds:datastoreItem xmlns:ds="http://schemas.openxmlformats.org/officeDocument/2006/customXml" ds:itemID="{C90723C3-C56F-4F60-9AD8-07B22AE5E050}"/>
</file>

<file path=customXml/itemProps4.xml><?xml version="1.0" encoding="utf-8"?>
<ds:datastoreItem xmlns:ds="http://schemas.openxmlformats.org/officeDocument/2006/customXml" ds:itemID="{760DC673-F23E-4740-9B3F-4CE6EC5F673B}"/>
</file>

<file path=customXml/itemProps5.xml><?xml version="1.0" encoding="utf-8"?>
<ds:datastoreItem xmlns:ds="http://schemas.openxmlformats.org/officeDocument/2006/customXml" ds:itemID="{917F62C4-6934-4A1B-85BD-6D5F6C29F172}"/>
</file>

<file path=docProps/app.xml><?xml version="1.0" encoding="utf-8"?>
<Properties xmlns="http://schemas.openxmlformats.org/officeDocument/2006/extended-properties" xmlns:vt="http://schemas.openxmlformats.org/officeDocument/2006/docPropsVTypes">
  <Template>Normal</Template>
  <TotalTime>22</TotalTime>
  <Pages>30</Pages>
  <Words>25768</Words>
  <Characters>14688</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Мазурик Віктор Станіславович</cp:lastModifiedBy>
  <cp:revision>5</cp:revision>
  <cp:lastPrinted>2020-09-18T12:31:00Z</cp:lastPrinted>
  <dcterms:created xsi:type="dcterms:W3CDTF">2020-09-21T13:49:00Z</dcterms:created>
  <dcterms:modified xsi:type="dcterms:W3CDTF">2020-09-21T14:21:00Z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LastSaved">
    <vt:filetime>2019-04-18T00:00:00Z</vt:filetime>
  </property>
  <property fmtid="{D5CDD505-2E9C-101B-9397-08002B2CF9AE}" pid="4" name="_dlc_DocIdItemGuid">
    <vt:lpwstr>37c8139a-16b4-466f-8c57-617b53689713</vt:lpwstr>
  </property>
  <property fmtid="{D5CDD505-2E9C-101B-9397-08002B2CF9AE}" pid="5" name="ContentTypeId">
    <vt:lpwstr>0x010100FB22A8A7686AFA499E3FB2F96D9161ED</vt:lpwstr>
  </property>
</Properties>
</file>