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6D6" w:rsidRDefault="001306D6" w:rsidP="001306D6">
      <w:pPr>
        <w:spacing w:before="0" w:beforeAutospacing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306D6" w:rsidRDefault="001306D6" w:rsidP="001306D6">
      <w:pPr>
        <w:spacing w:before="0" w:beforeAutospacing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Пояснювальна записка</w:t>
      </w:r>
    </w:p>
    <w:p w:rsidR="001306D6" w:rsidRDefault="001306D6" w:rsidP="001306D6">
      <w:pPr>
        <w:spacing w:before="0" w:beforeAutospacing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до проекту ухвали «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Про встановлення ставок та пільг зі сплати податку</w:t>
      </w:r>
    </w:p>
    <w:p w:rsidR="001306D6" w:rsidRDefault="001306D6" w:rsidP="001306D6">
      <w:pPr>
        <w:spacing w:before="0" w:beforeAutospacing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на нерухоме майно,</w:t>
      </w:r>
      <w:r w:rsidR="0069011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відмінне від земельної ділянки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uk-UA"/>
        </w:rPr>
        <w:t>»</w:t>
      </w:r>
    </w:p>
    <w:p w:rsidR="00DE17A3" w:rsidRDefault="00DE17A3" w:rsidP="00DE17A3">
      <w:pPr>
        <w:spacing w:before="0" w:beforeAutospacing="0" w:line="240" w:lineRule="auto"/>
        <w:ind w:firstLine="469"/>
        <w:jc w:val="both"/>
        <w:rPr>
          <w:rFonts w:ascii="Arial" w:hAnsi="Arial" w:cs="Arial"/>
          <w:noProof/>
          <w:sz w:val="24"/>
          <w:szCs w:val="24"/>
        </w:rPr>
      </w:pPr>
    </w:p>
    <w:p w:rsidR="00DE17A3" w:rsidRPr="00645981" w:rsidRDefault="00DE17A3" w:rsidP="00DE17A3">
      <w:pPr>
        <w:spacing w:before="0" w:beforeAutospacing="0" w:line="240" w:lineRule="auto"/>
        <w:ind w:firstLine="469"/>
        <w:jc w:val="both"/>
        <w:rPr>
          <w:rFonts w:ascii="Arial" w:hAnsi="Arial" w:cs="Arial"/>
          <w:noProof/>
          <w:sz w:val="24"/>
          <w:szCs w:val="24"/>
        </w:rPr>
      </w:pPr>
      <w:r w:rsidRPr="00645981">
        <w:rPr>
          <w:rFonts w:ascii="Arial" w:hAnsi="Arial" w:cs="Arial"/>
          <w:noProof/>
          <w:sz w:val="24"/>
          <w:szCs w:val="24"/>
        </w:rPr>
        <w:t>Львівська міська рада є правонаступником прав та обов’язків місцевих рад, що увійшли до складу Львівської міської територіальної громади. Відповідно до підпункту 13 пункту 6</w:t>
      </w:r>
      <w:r w:rsidRPr="00645981">
        <w:rPr>
          <w:rFonts w:ascii="Arial" w:hAnsi="Arial" w:cs="Arial"/>
          <w:noProof/>
          <w:sz w:val="24"/>
          <w:szCs w:val="24"/>
          <w:vertAlign w:val="superscript"/>
        </w:rPr>
        <w:t>1</w:t>
      </w:r>
      <w:r w:rsidRPr="00645981">
        <w:rPr>
          <w:rFonts w:ascii="Arial" w:hAnsi="Arial" w:cs="Arial"/>
          <w:noProof/>
          <w:sz w:val="24"/>
          <w:szCs w:val="24"/>
        </w:rPr>
        <w:t xml:space="preserve"> Прикінцевих та перехідних положень Закону України «Про місцеве самоврядування в Україні» після закінчення повноважень рад, що припиняються, їхні</w:t>
      </w:r>
      <w:r w:rsidR="00690110">
        <w:rPr>
          <w:rFonts w:ascii="Arial" w:hAnsi="Arial" w:cs="Arial"/>
          <w:noProof/>
          <w:sz w:val="24"/>
          <w:szCs w:val="24"/>
        </w:rPr>
        <w:t>х</w:t>
      </w:r>
      <w:r w:rsidRPr="00645981">
        <w:rPr>
          <w:rFonts w:ascii="Arial" w:hAnsi="Arial" w:cs="Arial"/>
          <w:noProof/>
          <w:sz w:val="24"/>
          <w:szCs w:val="24"/>
        </w:rPr>
        <w:t xml:space="preserve"> виконавчих органів, сільського голови, який одноособово виконував функції виконавчого органу сільської ради, що припиняється, видані ними нормативно-правові акти, невиконані акти індивідуальної дії зберігають чинність на відповідних територіях та для відповідних осіб.</w:t>
      </w:r>
    </w:p>
    <w:p w:rsidR="00DE17A3" w:rsidRPr="00645981" w:rsidRDefault="00DE17A3" w:rsidP="00DE17A3">
      <w:pPr>
        <w:spacing w:before="0" w:beforeAutospacing="0" w:line="240" w:lineRule="auto"/>
        <w:ind w:firstLine="469"/>
        <w:jc w:val="both"/>
        <w:rPr>
          <w:rFonts w:ascii="Arial" w:hAnsi="Arial" w:cs="Arial"/>
          <w:noProof/>
          <w:sz w:val="24"/>
          <w:szCs w:val="24"/>
        </w:rPr>
      </w:pPr>
      <w:r w:rsidRPr="00645981">
        <w:rPr>
          <w:rFonts w:ascii="Arial" w:hAnsi="Arial" w:cs="Arial"/>
          <w:noProof/>
          <w:sz w:val="24"/>
          <w:szCs w:val="24"/>
        </w:rPr>
        <w:t>Новообрана рада, може скасовувати, вносити зміни, визнавати такими, що втратили чинність, або скасовувати акти відповідних органів місцевого самоврядування, правонаступниками яких вони є.</w:t>
      </w:r>
    </w:p>
    <w:p w:rsidR="00DE17A3" w:rsidRPr="002251C0" w:rsidRDefault="00DE17A3" w:rsidP="00DE17A3">
      <w:pPr>
        <w:spacing w:before="0" w:beforeAutospacing="0" w:line="240" w:lineRule="auto"/>
        <w:ind w:firstLine="469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</w:rPr>
        <w:t>У</w:t>
      </w:r>
      <w:r w:rsidRPr="00F76343">
        <w:rPr>
          <w:rFonts w:ascii="Arial" w:hAnsi="Arial" w:cs="Arial"/>
          <w:noProof/>
          <w:sz w:val="24"/>
          <w:szCs w:val="24"/>
        </w:rPr>
        <w:t xml:space="preserve"> зв’язку з необхідністю </w:t>
      </w:r>
      <w:r w:rsidRPr="00CD07DD">
        <w:rPr>
          <w:rFonts w:ascii="Arial" w:hAnsi="Arial" w:cs="Arial"/>
          <w:noProof/>
          <w:sz w:val="24"/>
          <w:szCs w:val="24"/>
        </w:rPr>
        <w:t>встановлення</w:t>
      </w:r>
      <w:r w:rsidR="00690110">
        <w:rPr>
          <w:rFonts w:ascii="Arial" w:hAnsi="Arial" w:cs="Arial"/>
          <w:noProof/>
          <w:sz w:val="24"/>
          <w:szCs w:val="24"/>
        </w:rPr>
        <w:t xml:space="preserve"> єдиних</w:t>
      </w:r>
      <w:r w:rsidRPr="00CD07DD">
        <w:rPr>
          <w:rFonts w:ascii="Arial" w:hAnsi="Arial" w:cs="Arial"/>
          <w:noProof/>
          <w:sz w:val="24"/>
          <w:szCs w:val="24"/>
        </w:rPr>
        <w:t xml:space="preserve"> ставок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та пільг зі сплати податку на нерухоме майно, відмінне від земельної ділянки</w:t>
      </w:r>
      <w:r w:rsidRPr="00CD07DD">
        <w:rPr>
          <w:rFonts w:ascii="Arial" w:hAnsi="Arial" w:cs="Arial"/>
          <w:noProof/>
          <w:sz w:val="24"/>
          <w:szCs w:val="24"/>
        </w:rPr>
        <w:t>, що сплачується на</w:t>
      </w:r>
      <w:r w:rsidRPr="00F76343">
        <w:rPr>
          <w:rFonts w:ascii="Arial" w:hAnsi="Arial" w:cs="Arial"/>
          <w:noProof/>
          <w:sz w:val="24"/>
          <w:szCs w:val="24"/>
        </w:rPr>
        <w:t xml:space="preserve"> території </w:t>
      </w:r>
      <w:r w:rsidRPr="00BD3BD9">
        <w:rPr>
          <w:rFonts w:ascii="Arial" w:hAnsi="Arial" w:cs="Arial"/>
          <w:noProof/>
          <w:sz w:val="24"/>
          <w:szCs w:val="24"/>
        </w:rPr>
        <w:t>Львівської міської територіальної громади</w:t>
      </w:r>
      <w:r>
        <w:rPr>
          <w:rFonts w:ascii="Arial" w:hAnsi="Arial" w:cs="Arial"/>
          <w:noProof/>
          <w:sz w:val="24"/>
          <w:szCs w:val="24"/>
        </w:rPr>
        <w:t xml:space="preserve"> підготовлений проект ухвали. </w:t>
      </w:r>
      <w:r w:rsidRPr="002251C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Проект ухвали міської ради «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Про встановлення ставок та пільг зі сплати податку на нерухоме майно, відмінне від земельної ділянки</w:t>
      </w:r>
      <w:r w:rsidRPr="002251C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» розроблено відповідно до Податкового кодексу України та Постанови Кабінету Міністрів України від 24 травня 2017 року №483 </w:t>
      </w:r>
    </w:p>
    <w:p w:rsidR="00DE17A3" w:rsidRPr="00645981" w:rsidRDefault="00DE17A3" w:rsidP="00DE17A3">
      <w:pPr>
        <w:spacing w:before="0" w:beforeAutospacing="0" w:line="240" w:lineRule="auto"/>
        <w:ind w:firstLine="469"/>
        <w:jc w:val="both"/>
        <w:rPr>
          <w:rFonts w:ascii="Arial" w:hAnsi="Arial" w:cs="Arial"/>
          <w:sz w:val="24"/>
          <w:szCs w:val="24"/>
        </w:rPr>
      </w:pPr>
      <w:r w:rsidRPr="002251C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Проект ухвали міської ради «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Про встановлення ставок та пільг зі сплати податку на нерухоме майно, відмінне від земельної ділянки</w:t>
      </w:r>
      <w:r w:rsidRPr="002251C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» розроблено відповідно до Податкового кодексу України та Постанови Кабінету Міністрів України від 24 травня 2017 року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№483. </w:t>
      </w:r>
    </w:p>
    <w:p w:rsidR="00DE17A3" w:rsidRPr="00645981" w:rsidRDefault="00DE17A3" w:rsidP="00DE17A3">
      <w:pPr>
        <w:pStyle w:val="a3"/>
        <w:spacing w:before="0" w:beforeAutospacing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45981">
        <w:rPr>
          <w:rFonts w:ascii="Arial" w:hAnsi="Arial" w:cs="Arial"/>
          <w:sz w:val="24"/>
          <w:szCs w:val="24"/>
        </w:rPr>
        <w:t>Прийняття даної ухвали забезпечить стабільність наповнення загального фонду Львівського міського бюджету, що дозволить місту утримувати бюджетні установи, які забезпечують надання послуг населенню в різних галузях, своєчасно виплачувати заробітну плату бюджетникам та реалізувати міські цільові програми.</w:t>
      </w:r>
    </w:p>
    <w:p w:rsidR="00DE17A3" w:rsidRPr="00014672" w:rsidRDefault="00DE17A3" w:rsidP="00DE17A3">
      <w:pPr>
        <w:pStyle w:val="a3"/>
        <w:spacing w:before="0" w:beforeAutospacing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781781">
        <w:rPr>
          <w:rFonts w:ascii="Arial" w:hAnsi="Arial" w:cs="Arial"/>
          <w:sz w:val="24"/>
          <w:szCs w:val="24"/>
        </w:rPr>
        <w:t>Встановлення ставок місцевого податку на майно в частині плати за землю з 01.01.2022 року на території Львівської</w:t>
      </w:r>
      <w:r w:rsidR="005B0FA3" w:rsidRPr="00781781">
        <w:rPr>
          <w:rFonts w:ascii="Arial" w:hAnsi="Arial" w:cs="Arial"/>
          <w:sz w:val="24"/>
          <w:szCs w:val="24"/>
        </w:rPr>
        <w:t xml:space="preserve"> міської територіальної громади</w:t>
      </w:r>
      <w:r w:rsidRPr="00781781">
        <w:rPr>
          <w:rFonts w:ascii="Arial" w:hAnsi="Arial" w:cs="Arial"/>
          <w:sz w:val="24"/>
          <w:szCs w:val="24"/>
        </w:rPr>
        <w:t xml:space="preserve"> дозвол</w:t>
      </w:r>
      <w:r w:rsidR="005B0FA3" w:rsidRPr="00781781">
        <w:rPr>
          <w:rFonts w:ascii="Arial" w:hAnsi="Arial" w:cs="Arial"/>
          <w:sz w:val="24"/>
          <w:szCs w:val="24"/>
        </w:rPr>
        <w:t>ять</w:t>
      </w:r>
      <w:r w:rsidRPr="00781781">
        <w:rPr>
          <w:rFonts w:ascii="Arial" w:hAnsi="Arial" w:cs="Arial"/>
          <w:sz w:val="24"/>
          <w:szCs w:val="24"/>
        </w:rPr>
        <w:t xml:space="preserve"> збільшити надходження до бюджету ЛМТГ для виконання програми соціально-економічного розвитку громади. Фактичні надходження </w:t>
      </w:r>
      <w:r w:rsidR="00025F5B" w:rsidRPr="00781781">
        <w:rPr>
          <w:rFonts w:ascii="Arial" w:hAnsi="Arial" w:cs="Arial"/>
          <w:sz w:val="24"/>
          <w:szCs w:val="24"/>
        </w:rPr>
        <w:t>податку на нерухоме майно, відмінне від земельної ділянки</w:t>
      </w:r>
      <w:r w:rsidR="00025F5B" w:rsidRPr="00781781">
        <w:rPr>
          <w:sz w:val="28"/>
          <w:szCs w:val="28"/>
        </w:rPr>
        <w:t xml:space="preserve"> </w:t>
      </w:r>
      <w:r w:rsidRPr="00781781">
        <w:rPr>
          <w:rFonts w:ascii="Arial" w:hAnsi="Arial" w:cs="Arial"/>
          <w:sz w:val="24"/>
          <w:szCs w:val="24"/>
        </w:rPr>
        <w:t xml:space="preserve">до дохідної частини міського бюджету м. Львова у 2020 склали </w:t>
      </w:r>
      <w:r w:rsidR="00025F5B" w:rsidRPr="00781781">
        <w:rPr>
          <w:rFonts w:ascii="Arial" w:hAnsi="Arial" w:cs="Arial"/>
          <w:sz w:val="24"/>
          <w:szCs w:val="24"/>
        </w:rPr>
        <w:t>209,7 млн</w:t>
      </w:r>
      <w:r w:rsidRPr="00781781">
        <w:rPr>
          <w:rFonts w:ascii="Arial" w:hAnsi="Arial" w:cs="Arial"/>
          <w:sz w:val="24"/>
          <w:szCs w:val="24"/>
        </w:rPr>
        <w:t>. грн., на 2021 рік планові показники надходжень до бюджету Львівської міської територіальної</w:t>
      </w:r>
      <w:r w:rsidRPr="00781781">
        <w:rPr>
          <w:rFonts w:ascii="Arial" w:hAnsi="Arial" w:cs="Arial"/>
          <w:spacing w:val="1"/>
          <w:sz w:val="24"/>
          <w:szCs w:val="24"/>
        </w:rPr>
        <w:t xml:space="preserve"> </w:t>
      </w:r>
      <w:r w:rsidRPr="00781781">
        <w:rPr>
          <w:rFonts w:ascii="Arial" w:hAnsi="Arial" w:cs="Arial"/>
          <w:sz w:val="24"/>
          <w:szCs w:val="24"/>
        </w:rPr>
        <w:t xml:space="preserve">громади – </w:t>
      </w:r>
      <w:r w:rsidR="00B76780">
        <w:rPr>
          <w:rFonts w:ascii="Arial" w:hAnsi="Arial" w:cs="Arial"/>
          <w:sz w:val="24"/>
          <w:szCs w:val="24"/>
        </w:rPr>
        <w:t>287,1</w:t>
      </w:r>
      <w:r w:rsidR="00025F5B" w:rsidRPr="00781781">
        <w:rPr>
          <w:rFonts w:ascii="Arial" w:hAnsi="Arial" w:cs="Arial"/>
          <w:sz w:val="24"/>
          <w:szCs w:val="24"/>
        </w:rPr>
        <w:t xml:space="preserve"> млн</w:t>
      </w:r>
      <w:r w:rsidRPr="00781781">
        <w:rPr>
          <w:rFonts w:ascii="Arial" w:hAnsi="Arial" w:cs="Arial"/>
          <w:sz w:val="24"/>
          <w:szCs w:val="24"/>
        </w:rPr>
        <w:t>.</w:t>
      </w:r>
      <w:r w:rsidRPr="00781781">
        <w:rPr>
          <w:rFonts w:ascii="Arial" w:hAnsi="Arial" w:cs="Arial"/>
          <w:spacing w:val="1"/>
          <w:sz w:val="24"/>
          <w:szCs w:val="24"/>
        </w:rPr>
        <w:t xml:space="preserve"> </w:t>
      </w:r>
      <w:r w:rsidRPr="00781781">
        <w:rPr>
          <w:rFonts w:ascii="Arial" w:hAnsi="Arial" w:cs="Arial"/>
          <w:sz w:val="24"/>
          <w:szCs w:val="24"/>
        </w:rPr>
        <w:t xml:space="preserve">грн. </w:t>
      </w:r>
      <w:r w:rsidRPr="00014672">
        <w:rPr>
          <w:rFonts w:ascii="Arial" w:hAnsi="Arial" w:cs="Arial"/>
          <w:sz w:val="24"/>
          <w:szCs w:val="24"/>
        </w:rPr>
        <w:t>При прийнятті розробленого проекту ухвали</w:t>
      </w:r>
      <w:r w:rsidRPr="00014672">
        <w:rPr>
          <w:rFonts w:ascii="Arial" w:hAnsi="Arial" w:cs="Arial"/>
          <w:spacing w:val="1"/>
          <w:sz w:val="24"/>
          <w:szCs w:val="24"/>
        </w:rPr>
        <w:t xml:space="preserve"> </w:t>
      </w:r>
      <w:r w:rsidRPr="00014672">
        <w:rPr>
          <w:rFonts w:ascii="Arial" w:hAnsi="Arial" w:cs="Arial"/>
          <w:sz w:val="24"/>
          <w:szCs w:val="24"/>
        </w:rPr>
        <w:t>планові</w:t>
      </w:r>
      <w:r w:rsidRPr="00014672">
        <w:rPr>
          <w:rFonts w:ascii="Arial" w:hAnsi="Arial" w:cs="Arial"/>
          <w:spacing w:val="1"/>
          <w:sz w:val="24"/>
          <w:szCs w:val="24"/>
        </w:rPr>
        <w:t xml:space="preserve"> </w:t>
      </w:r>
      <w:r w:rsidRPr="00014672">
        <w:rPr>
          <w:rFonts w:ascii="Arial" w:hAnsi="Arial" w:cs="Arial"/>
          <w:sz w:val="24"/>
          <w:szCs w:val="24"/>
        </w:rPr>
        <w:t>показники</w:t>
      </w:r>
      <w:r w:rsidRPr="00014672">
        <w:rPr>
          <w:rFonts w:ascii="Arial" w:hAnsi="Arial" w:cs="Arial"/>
          <w:spacing w:val="1"/>
          <w:sz w:val="24"/>
          <w:szCs w:val="24"/>
        </w:rPr>
        <w:t xml:space="preserve"> надходження податку </w:t>
      </w:r>
      <w:r w:rsidRPr="00014672">
        <w:rPr>
          <w:rFonts w:ascii="Arial" w:hAnsi="Arial" w:cs="Arial"/>
          <w:sz w:val="24"/>
          <w:szCs w:val="24"/>
        </w:rPr>
        <w:t>на</w:t>
      </w:r>
      <w:r w:rsidRPr="00014672">
        <w:rPr>
          <w:rFonts w:ascii="Arial" w:hAnsi="Arial" w:cs="Arial"/>
          <w:spacing w:val="1"/>
          <w:sz w:val="24"/>
          <w:szCs w:val="24"/>
        </w:rPr>
        <w:t xml:space="preserve"> </w:t>
      </w:r>
      <w:r w:rsidRPr="00014672">
        <w:rPr>
          <w:rFonts w:ascii="Arial" w:hAnsi="Arial" w:cs="Arial"/>
          <w:sz w:val="24"/>
          <w:szCs w:val="24"/>
        </w:rPr>
        <w:t>2022</w:t>
      </w:r>
      <w:r w:rsidRPr="00014672">
        <w:rPr>
          <w:rFonts w:ascii="Arial" w:hAnsi="Arial" w:cs="Arial"/>
          <w:spacing w:val="1"/>
          <w:sz w:val="24"/>
          <w:szCs w:val="24"/>
        </w:rPr>
        <w:t xml:space="preserve"> </w:t>
      </w:r>
      <w:r w:rsidRPr="00014672">
        <w:rPr>
          <w:rFonts w:ascii="Arial" w:hAnsi="Arial" w:cs="Arial"/>
          <w:sz w:val="24"/>
          <w:szCs w:val="24"/>
        </w:rPr>
        <w:t>рік очікуються в сумі</w:t>
      </w:r>
      <w:r w:rsidR="00B76780">
        <w:rPr>
          <w:rFonts w:ascii="Arial" w:hAnsi="Arial" w:cs="Arial"/>
          <w:sz w:val="24"/>
          <w:szCs w:val="24"/>
        </w:rPr>
        <w:t xml:space="preserve"> понад 420</w:t>
      </w:r>
      <w:r w:rsidR="00702D7E">
        <w:rPr>
          <w:rFonts w:ascii="Arial" w:hAnsi="Arial" w:cs="Arial"/>
          <w:sz w:val="24"/>
          <w:szCs w:val="24"/>
        </w:rPr>
        <w:t xml:space="preserve"> млн.</w:t>
      </w:r>
      <w:r w:rsidRPr="00014672">
        <w:rPr>
          <w:rFonts w:ascii="Arial" w:hAnsi="Arial" w:cs="Arial"/>
          <w:spacing w:val="1"/>
          <w:sz w:val="24"/>
          <w:szCs w:val="24"/>
        </w:rPr>
        <w:t xml:space="preserve"> </w:t>
      </w:r>
      <w:r w:rsidRPr="00014672">
        <w:rPr>
          <w:rFonts w:ascii="Arial" w:hAnsi="Arial" w:cs="Arial"/>
          <w:sz w:val="24"/>
          <w:szCs w:val="24"/>
        </w:rPr>
        <w:t>грн.</w:t>
      </w:r>
    </w:p>
    <w:p w:rsidR="00DE17A3" w:rsidRPr="00A54134" w:rsidRDefault="00DE17A3" w:rsidP="00DE17A3">
      <w:pPr>
        <w:pStyle w:val="a3"/>
        <w:spacing w:before="0" w:beforeAutospacing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A54134">
        <w:rPr>
          <w:rFonts w:ascii="Arial" w:hAnsi="Arial" w:cs="Arial"/>
          <w:sz w:val="24"/>
          <w:szCs w:val="24"/>
        </w:rPr>
        <w:t>Відповідно до статті 12.3.4. Податкового кодексу рішення про встановлення місцевих податків та</w:t>
      </w:r>
      <w:r w:rsidRPr="00A54134">
        <w:rPr>
          <w:rFonts w:ascii="Arial" w:hAnsi="Arial" w:cs="Arial"/>
          <w:spacing w:val="1"/>
          <w:sz w:val="24"/>
          <w:szCs w:val="24"/>
        </w:rPr>
        <w:t xml:space="preserve"> </w:t>
      </w:r>
      <w:r w:rsidRPr="00A54134">
        <w:rPr>
          <w:rFonts w:ascii="Arial" w:hAnsi="Arial" w:cs="Arial"/>
          <w:sz w:val="24"/>
          <w:szCs w:val="24"/>
        </w:rPr>
        <w:t>зборів офіційно оприлюднюється відповідним органом місцевого самоврядування до 25 липня року, що</w:t>
      </w:r>
      <w:r w:rsidRPr="00A54134">
        <w:rPr>
          <w:rFonts w:ascii="Arial" w:hAnsi="Arial" w:cs="Arial"/>
          <w:spacing w:val="1"/>
          <w:sz w:val="24"/>
          <w:szCs w:val="24"/>
        </w:rPr>
        <w:t xml:space="preserve"> </w:t>
      </w:r>
      <w:r w:rsidRPr="00A54134">
        <w:rPr>
          <w:rFonts w:ascii="Arial" w:hAnsi="Arial" w:cs="Arial"/>
          <w:sz w:val="24"/>
          <w:szCs w:val="24"/>
        </w:rPr>
        <w:t>передує бюджетному періоду, в якому планується застосовування встановлюваних місцевих податків та</w:t>
      </w:r>
      <w:r w:rsidRPr="00A54134">
        <w:rPr>
          <w:rFonts w:ascii="Arial" w:hAnsi="Arial" w:cs="Arial"/>
          <w:spacing w:val="1"/>
          <w:sz w:val="24"/>
          <w:szCs w:val="24"/>
        </w:rPr>
        <w:t xml:space="preserve"> </w:t>
      </w:r>
      <w:r w:rsidRPr="00A54134">
        <w:rPr>
          <w:rFonts w:ascii="Arial" w:hAnsi="Arial" w:cs="Arial"/>
          <w:sz w:val="24"/>
          <w:szCs w:val="24"/>
        </w:rPr>
        <w:t>зборів</w:t>
      </w:r>
      <w:r w:rsidRPr="00A54134">
        <w:rPr>
          <w:rFonts w:ascii="Arial" w:hAnsi="Arial" w:cs="Arial"/>
          <w:spacing w:val="-2"/>
          <w:sz w:val="24"/>
          <w:szCs w:val="24"/>
        </w:rPr>
        <w:t xml:space="preserve"> </w:t>
      </w:r>
      <w:r w:rsidRPr="00A54134">
        <w:rPr>
          <w:rFonts w:ascii="Arial" w:hAnsi="Arial" w:cs="Arial"/>
          <w:sz w:val="24"/>
          <w:szCs w:val="24"/>
        </w:rPr>
        <w:t>або змін</w:t>
      </w:r>
      <w:r w:rsidRPr="00A54134">
        <w:rPr>
          <w:rFonts w:ascii="Arial" w:hAnsi="Arial" w:cs="Arial"/>
          <w:spacing w:val="-3"/>
          <w:sz w:val="24"/>
          <w:szCs w:val="24"/>
        </w:rPr>
        <w:t xml:space="preserve"> </w:t>
      </w:r>
      <w:r w:rsidRPr="00A54134">
        <w:rPr>
          <w:rFonts w:ascii="Arial" w:hAnsi="Arial" w:cs="Arial"/>
          <w:sz w:val="24"/>
          <w:szCs w:val="24"/>
        </w:rPr>
        <w:t>(плановий</w:t>
      </w:r>
      <w:r w:rsidRPr="00A54134">
        <w:rPr>
          <w:rFonts w:ascii="Arial" w:hAnsi="Arial" w:cs="Arial"/>
          <w:spacing w:val="-3"/>
          <w:sz w:val="24"/>
          <w:szCs w:val="24"/>
        </w:rPr>
        <w:t xml:space="preserve"> </w:t>
      </w:r>
      <w:r w:rsidRPr="00A54134">
        <w:rPr>
          <w:rFonts w:ascii="Arial" w:hAnsi="Arial" w:cs="Arial"/>
          <w:sz w:val="24"/>
          <w:szCs w:val="24"/>
        </w:rPr>
        <w:t>період).</w:t>
      </w:r>
    </w:p>
    <w:p w:rsidR="00DE17A3" w:rsidRPr="00A54134" w:rsidRDefault="00DE17A3" w:rsidP="00DE17A3">
      <w:pPr>
        <w:spacing w:before="0" w:before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134">
        <w:rPr>
          <w:rFonts w:ascii="Arial" w:eastAsiaTheme="minorHAnsi" w:hAnsi="Arial" w:cs="Arial"/>
          <w:sz w:val="24"/>
          <w:szCs w:val="24"/>
        </w:rPr>
        <w:t xml:space="preserve">Інформація про оприлюднення проекту регуляторного </w:t>
      </w:r>
      <w:proofErr w:type="spellStart"/>
      <w:r w:rsidRPr="00A54134">
        <w:rPr>
          <w:rFonts w:ascii="Arial" w:eastAsiaTheme="minorHAnsi" w:hAnsi="Arial" w:cs="Arial"/>
          <w:sz w:val="24"/>
          <w:szCs w:val="24"/>
        </w:rPr>
        <w:t>акта</w:t>
      </w:r>
      <w:proofErr w:type="spellEnd"/>
      <w:r w:rsidRPr="00A54134">
        <w:rPr>
          <w:rFonts w:ascii="Arial" w:eastAsiaTheme="minorHAnsi" w:hAnsi="Arial" w:cs="Arial"/>
          <w:sz w:val="24"/>
          <w:szCs w:val="24"/>
        </w:rPr>
        <w:t xml:space="preserve"> та аналізу регуляторного впливу була розміщена </w:t>
      </w:r>
      <w:r w:rsidR="00A54134" w:rsidRPr="00A54134">
        <w:rPr>
          <w:rFonts w:ascii="Arial" w:eastAsiaTheme="minorHAnsi" w:hAnsi="Arial" w:cs="Arial"/>
          <w:sz w:val="24"/>
          <w:szCs w:val="24"/>
        </w:rPr>
        <w:t>16</w:t>
      </w:r>
      <w:r w:rsidRPr="00A54134">
        <w:rPr>
          <w:rFonts w:ascii="Arial" w:eastAsiaTheme="minorHAnsi" w:hAnsi="Arial" w:cs="Arial"/>
          <w:sz w:val="24"/>
          <w:szCs w:val="24"/>
        </w:rPr>
        <w:t xml:space="preserve">.04.2021 року </w:t>
      </w:r>
      <w:r w:rsidRPr="00A54134">
        <w:rPr>
          <w:rFonts w:ascii="Arial" w:hAnsi="Arial" w:cs="Arial"/>
          <w:sz w:val="24"/>
          <w:szCs w:val="24"/>
        </w:rPr>
        <w:t>на</w:t>
      </w:r>
      <w:r w:rsidRPr="00A54134">
        <w:rPr>
          <w:rFonts w:ascii="Arial" w:hAnsi="Arial" w:cs="Arial"/>
          <w:spacing w:val="1"/>
          <w:sz w:val="24"/>
          <w:szCs w:val="24"/>
        </w:rPr>
        <w:t xml:space="preserve"> </w:t>
      </w:r>
      <w:r w:rsidRPr="00A54134">
        <w:rPr>
          <w:rFonts w:ascii="Arial" w:hAnsi="Arial" w:cs="Arial"/>
          <w:sz w:val="24"/>
          <w:szCs w:val="24"/>
        </w:rPr>
        <w:t>сайті</w:t>
      </w:r>
      <w:r w:rsidRPr="00A54134">
        <w:rPr>
          <w:rFonts w:ascii="Arial" w:hAnsi="Arial" w:cs="Arial"/>
          <w:spacing w:val="3"/>
          <w:sz w:val="24"/>
          <w:szCs w:val="24"/>
        </w:rPr>
        <w:t xml:space="preserve"> </w:t>
      </w:r>
      <w:r w:rsidRPr="00A54134">
        <w:rPr>
          <w:rFonts w:ascii="Arial" w:hAnsi="Arial" w:cs="Arial"/>
          <w:sz w:val="24"/>
          <w:szCs w:val="24"/>
        </w:rPr>
        <w:t>Львівської</w:t>
      </w:r>
      <w:r w:rsidRPr="00A54134">
        <w:rPr>
          <w:rFonts w:ascii="Arial" w:hAnsi="Arial" w:cs="Arial"/>
          <w:spacing w:val="3"/>
          <w:sz w:val="24"/>
          <w:szCs w:val="24"/>
        </w:rPr>
        <w:t xml:space="preserve"> </w:t>
      </w:r>
      <w:r w:rsidRPr="00A54134">
        <w:rPr>
          <w:rFonts w:ascii="Arial" w:hAnsi="Arial" w:cs="Arial"/>
          <w:sz w:val="24"/>
          <w:szCs w:val="24"/>
        </w:rPr>
        <w:t>міської</w:t>
      </w:r>
      <w:r w:rsidRPr="00A54134">
        <w:rPr>
          <w:rFonts w:ascii="Arial" w:hAnsi="Arial" w:cs="Arial"/>
          <w:spacing w:val="60"/>
          <w:sz w:val="24"/>
          <w:szCs w:val="24"/>
        </w:rPr>
        <w:t xml:space="preserve"> </w:t>
      </w:r>
      <w:r w:rsidRPr="00A54134">
        <w:rPr>
          <w:rFonts w:ascii="Arial" w:hAnsi="Arial" w:cs="Arial"/>
          <w:sz w:val="24"/>
          <w:szCs w:val="24"/>
        </w:rPr>
        <w:t>ради</w:t>
      </w:r>
      <w:r w:rsidR="00CC2014">
        <w:rPr>
          <w:rFonts w:ascii="Arial" w:hAnsi="Arial" w:cs="Arial"/>
          <w:spacing w:val="4"/>
          <w:sz w:val="24"/>
          <w:szCs w:val="24"/>
        </w:rPr>
        <w:t>.</w:t>
      </w:r>
    </w:p>
    <w:p w:rsidR="00DE17A3" w:rsidRPr="00A54134" w:rsidRDefault="00DE17A3" w:rsidP="00DE17A3">
      <w:pPr>
        <w:spacing w:before="0" w:beforeAutospacing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E17A3" w:rsidRPr="00A54134" w:rsidRDefault="00DE17A3" w:rsidP="00DE17A3">
      <w:pPr>
        <w:spacing w:before="0" w:beforeAutospacing="0" w:line="240" w:lineRule="auto"/>
        <w:jc w:val="both"/>
        <w:rPr>
          <w:rFonts w:ascii="Arial" w:hAnsi="Arial" w:cs="Arial"/>
          <w:sz w:val="24"/>
          <w:szCs w:val="24"/>
        </w:rPr>
      </w:pPr>
    </w:p>
    <w:p w:rsidR="00DE17A3" w:rsidRPr="00645981" w:rsidRDefault="00DE17A3" w:rsidP="00DE17A3">
      <w:pPr>
        <w:spacing w:before="0" w:beforeAutospacing="0" w:line="240" w:lineRule="auto"/>
        <w:jc w:val="both"/>
        <w:rPr>
          <w:rFonts w:ascii="Arial" w:hAnsi="Arial" w:cs="Arial"/>
          <w:sz w:val="24"/>
          <w:szCs w:val="24"/>
        </w:rPr>
      </w:pPr>
    </w:p>
    <w:p w:rsidR="00DE17A3" w:rsidRPr="00645981" w:rsidRDefault="00DE17A3" w:rsidP="00DE17A3">
      <w:pPr>
        <w:spacing w:before="0" w:beforeAutospacing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5981">
        <w:rPr>
          <w:rFonts w:ascii="Arial" w:hAnsi="Arial" w:cs="Arial"/>
          <w:sz w:val="24"/>
          <w:szCs w:val="24"/>
        </w:rPr>
        <w:t>Директор департаменту</w:t>
      </w:r>
    </w:p>
    <w:p w:rsidR="00DE17A3" w:rsidRPr="00645981" w:rsidRDefault="00DE17A3" w:rsidP="00DE17A3">
      <w:pPr>
        <w:spacing w:before="0" w:beforeAutospacing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5981">
        <w:rPr>
          <w:rFonts w:ascii="Arial" w:hAnsi="Arial" w:cs="Arial"/>
          <w:sz w:val="24"/>
          <w:szCs w:val="24"/>
        </w:rPr>
        <w:t xml:space="preserve">економічного розвитку  </w:t>
      </w:r>
      <w:r w:rsidRPr="00645981">
        <w:rPr>
          <w:rFonts w:ascii="Arial" w:hAnsi="Arial" w:cs="Arial"/>
          <w:sz w:val="24"/>
          <w:szCs w:val="24"/>
        </w:rPr>
        <w:tab/>
      </w:r>
      <w:r w:rsidRPr="00645981">
        <w:rPr>
          <w:rFonts w:ascii="Arial" w:hAnsi="Arial" w:cs="Arial"/>
          <w:sz w:val="24"/>
          <w:szCs w:val="24"/>
        </w:rPr>
        <w:tab/>
      </w:r>
      <w:r w:rsidRPr="00645981">
        <w:rPr>
          <w:rFonts w:ascii="Arial" w:hAnsi="Arial" w:cs="Arial"/>
          <w:sz w:val="24"/>
          <w:szCs w:val="24"/>
        </w:rPr>
        <w:tab/>
      </w:r>
      <w:r w:rsidRPr="00645981">
        <w:rPr>
          <w:rFonts w:ascii="Arial" w:hAnsi="Arial" w:cs="Arial"/>
          <w:sz w:val="24"/>
          <w:szCs w:val="24"/>
        </w:rPr>
        <w:tab/>
      </w:r>
      <w:r w:rsidRPr="00645981">
        <w:rPr>
          <w:rFonts w:ascii="Arial" w:hAnsi="Arial" w:cs="Arial"/>
          <w:sz w:val="24"/>
          <w:szCs w:val="24"/>
        </w:rPr>
        <w:tab/>
      </w:r>
      <w:r w:rsidRPr="00645981">
        <w:rPr>
          <w:rFonts w:ascii="Arial" w:hAnsi="Arial" w:cs="Arial"/>
          <w:sz w:val="24"/>
          <w:szCs w:val="24"/>
        </w:rPr>
        <w:tab/>
        <w:t>І. Кулинич</w:t>
      </w:r>
    </w:p>
    <w:p w:rsidR="00DE17A3" w:rsidRPr="00645981" w:rsidRDefault="00DE17A3" w:rsidP="00DE17A3">
      <w:pPr>
        <w:spacing w:before="0" w:beforeAutospacing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E17A3" w:rsidRPr="00645981" w:rsidRDefault="00DE17A3" w:rsidP="00DE17A3">
      <w:pPr>
        <w:spacing w:before="0" w:beforeAutospacing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E17A3" w:rsidRPr="00645981" w:rsidRDefault="00DE17A3" w:rsidP="00DE17A3">
      <w:pPr>
        <w:spacing w:before="0" w:beforeAutospacing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E17A3" w:rsidRPr="00645981" w:rsidRDefault="00DE17A3" w:rsidP="00DE17A3">
      <w:pPr>
        <w:spacing w:before="0" w:beforeAutospacing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57CC5" w:rsidRPr="00690110" w:rsidRDefault="00657CC5">
      <w:pPr>
        <w:rPr>
          <w:lang w:val="ru-RU"/>
        </w:rPr>
      </w:pPr>
    </w:p>
    <w:sectPr w:rsidR="00657CC5" w:rsidRPr="006901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75"/>
    <w:rsid w:val="00014672"/>
    <w:rsid w:val="00025F5B"/>
    <w:rsid w:val="00040C65"/>
    <w:rsid w:val="000F6AFA"/>
    <w:rsid w:val="001306D6"/>
    <w:rsid w:val="001A46EF"/>
    <w:rsid w:val="002251C0"/>
    <w:rsid w:val="004E2F4A"/>
    <w:rsid w:val="0052589F"/>
    <w:rsid w:val="005B0FA3"/>
    <w:rsid w:val="00657CC5"/>
    <w:rsid w:val="00662B2C"/>
    <w:rsid w:val="00690110"/>
    <w:rsid w:val="00702A2C"/>
    <w:rsid w:val="00702D7E"/>
    <w:rsid w:val="00781781"/>
    <w:rsid w:val="008A3F0B"/>
    <w:rsid w:val="00A16975"/>
    <w:rsid w:val="00A54134"/>
    <w:rsid w:val="00B76780"/>
    <w:rsid w:val="00CC2014"/>
    <w:rsid w:val="00D66E3D"/>
    <w:rsid w:val="00DC2ECF"/>
    <w:rsid w:val="00DE17A3"/>
    <w:rsid w:val="00EC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1FB83-547E-47A8-835B-2E0CF92E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6D6"/>
    <w:pPr>
      <w:spacing w:before="100" w:beforeAutospacing="1" w:after="0" w:line="240" w:lineRule="atLeas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306D6"/>
    <w:pPr>
      <w:spacing w:after="120"/>
    </w:pPr>
  </w:style>
  <w:style w:type="character" w:customStyle="1" w:styleId="a4">
    <w:name w:val="Основной текст Знак"/>
    <w:basedOn w:val="a0"/>
    <w:link w:val="a3"/>
    <w:rsid w:val="001306D6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DC2E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DC2ECF"/>
    <w:pPr>
      <w:widowControl w:val="0"/>
      <w:autoSpaceDE w:val="0"/>
      <w:autoSpaceDN w:val="0"/>
      <w:spacing w:before="0" w:beforeAutospacing="0" w:line="240" w:lineRule="auto"/>
    </w:pPr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52589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58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2016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Благітко Анна</dc:creator>
  <cp:keywords/>
  <dc:description/>
  <cp:lastModifiedBy>Благітко Анна</cp:lastModifiedBy>
  <cp:revision>2</cp:revision>
  <cp:lastPrinted>2021-04-28T12:11:00Z</cp:lastPrinted>
  <dcterms:created xsi:type="dcterms:W3CDTF">2021-04-29T11:29:00Z</dcterms:created>
  <dcterms:modified xsi:type="dcterms:W3CDTF">2021-04-29T11:29:00Z</dcterms:modified>
</cp:coreProperties>
</file>