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0611" w:rsidRPr="00F24407" w:rsidRDefault="004A6001" w:rsidP="003B448C">
      <w:pPr>
        <w:jc w:val="center"/>
        <w:rPr>
          <w:b/>
          <w:sz w:val="28"/>
          <w:szCs w:val="28"/>
        </w:rPr>
      </w:pPr>
      <w:r w:rsidRPr="00F24407">
        <w:rPr>
          <w:b/>
          <w:sz w:val="28"/>
          <w:szCs w:val="28"/>
        </w:rPr>
        <w:t>Аналіз регуляторного впливу</w:t>
      </w:r>
    </w:p>
    <w:p w:rsidR="00A30611" w:rsidRPr="00F24407" w:rsidRDefault="00A30611" w:rsidP="003B448C">
      <w:pPr>
        <w:jc w:val="center"/>
        <w:rPr>
          <w:b/>
          <w:sz w:val="28"/>
          <w:szCs w:val="28"/>
        </w:rPr>
      </w:pPr>
    </w:p>
    <w:p w:rsidR="00A30611" w:rsidRPr="00F24407" w:rsidRDefault="00A30611" w:rsidP="003B448C">
      <w:pPr>
        <w:pStyle w:val="HTML0"/>
        <w:ind w:firstLine="709"/>
        <w:jc w:val="both"/>
        <w:rPr>
          <w:rFonts w:ascii="Times New Roman" w:hAnsi="Times New Roman" w:cs="Times New Roman"/>
          <w:b/>
          <w:sz w:val="28"/>
          <w:szCs w:val="28"/>
          <w:vertAlign w:val="subscript"/>
        </w:rPr>
      </w:pPr>
    </w:p>
    <w:p w:rsidR="00A30611" w:rsidRPr="00F24407" w:rsidRDefault="004A6001" w:rsidP="00F04ECE">
      <w:pPr>
        <w:pStyle w:val="HTML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24407">
        <w:rPr>
          <w:rFonts w:ascii="Times New Roman" w:hAnsi="Times New Roman" w:cs="Times New Roman"/>
          <w:b/>
          <w:sz w:val="28"/>
          <w:szCs w:val="28"/>
        </w:rPr>
        <w:t xml:space="preserve">Назва регуляторного </w:t>
      </w:r>
      <w:proofErr w:type="spellStart"/>
      <w:r w:rsidRPr="00F24407">
        <w:rPr>
          <w:rFonts w:ascii="Times New Roman" w:hAnsi="Times New Roman" w:cs="Times New Roman"/>
          <w:b/>
          <w:sz w:val="28"/>
          <w:szCs w:val="28"/>
        </w:rPr>
        <w:t>акта</w:t>
      </w:r>
      <w:proofErr w:type="spellEnd"/>
      <w:r w:rsidR="00F04ECE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2440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24407">
        <w:rPr>
          <w:rFonts w:ascii="Times New Roman" w:hAnsi="Times New Roman" w:cs="Times New Roman"/>
          <w:sz w:val="28"/>
          <w:szCs w:val="28"/>
        </w:rPr>
        <w:t xml:space="preserve"> рішення міської ради «Про затвердження Правил додержання тиші в громадських місцях на території Луцької міської територіальної громади»</w:t>
      </w:r>
      <w:r w:rsidR="00F04ECE">
        <w:rPr>
          <w:rFonts w:ascii="Times New Roman" w:hAnsi="Times New Roman" w:cs="Times New Roman"/>
          <w:sz w:val="28"/>
          <w:szCs w:val="28"/>
        </w:rPr>
        <w:t>.</w:t>
      </w:r>
    </w:p>
    <w:p w:rsidR="00A30611" w:rsidRPr="00F24407" w:rsidRDefault="004A6001" w:rsidP="00F04ECE">
      <w:pPr>
        <w:ind w:firstLine="284"/>
        <w:jc w:val="both"/>
        <w:rPr>
          <w:sz w:val="28"/>
          <w:szCs w:val="28"/>
        </w:rPr>
      </w:pPr>
      <w:r w:rsidRPr="00F24407">
        <w:rPr>
          <w:b/>
          <w:sz w:val="28"/>
          <w:szCs w:val="28"/>
        </w:rPr>
        <w:t>Регуляторний орган</w:t>
      </w:r>
      <w:r w:rsidR="00F04ECE">
        <w:rPr>
          <w:b/>
          <w:sz w:val="28"/>
          <w:szCs w:val="28"/>
        </w:rPr>
        <w:t>:</w:t>
      </w:r>
      <w:r w:rsidRPr="00F24407">
        <w:rPr>
          <w:sz w:val="28"/>
          <w:szCs w:val="28"/>
        </w:rPr>
        <w:t xml:space="preserve"> Луцька міська рада. </w:t>
      </w:r>
    </w:p>
    <w:p w:rsidR="00A30611" w:rsidRPr="00F24407" w:rsidRDefault="004A6001" w:rsidP="00F04ECE">
      <w:pPr>
        <w:ind w:firstLine="284"/>
        <w:jc w:val="both"/>
        <w:rPr>
          <w:sz w:val="28"/>
          <w:szCs w:val="28"/>
        </w:rPr>
      </w:pPr>
      <w:r w:rsidRPr="00F24407">
        <w:rPr>
          <w:b/>
          <w:sz w:val="28"/>
          <w:szCs w:val="28"/>
        </w:rPr>
        <w:t>Розробник документ</w:t>
      </w:r>
      <w:r w:rsidRPr="00F04ECE">
        <w:rPr>
          <w:sz w:val="28"/>
          <w:szCs w:val="28"/>
        </w:rPr>
        <w:t>а</w:t>
      </w:r>
      <w:r w:rsidR="00F04ECE" w:rsidRPr="00F04ECE">
        <w:rPr>
          <w:sz w:val="28"/>
          <w:szCs w:val="28"/>
        </w:rPr>
        <w:t>:</w:t>
      </w:r>
      <w:r w:rsidRPr="00F24407">
        <w:rPr>
          <w:sz w:val="28"/>
          <w:szCs w:val="28"/>
        </w:rPr>
        <w:t xml:space="preserve"> департамент економічної політики Луцької міської ради.</w:t>
      </w:r>
    </w:p>
    <w:p w:rsidR="00A30611" w:rsidRPr="00F24407" w:rsidRDefault="004A6001" w:rsidP="00F04ECE">
      <w:pPr>
        <w:ind w:firstLine="284"/>
        <w:jc w:val="both"/>
        <w:rPr>
          <w:sz w:val="28"/>
          <w:szCs w:val="28"/>
        </w:rPr>
      </w:pPr>
      <w:r w:rsidRPr="00F24407">
        <w:rPr>
          <w:b/>
          <w:sz w:val="28"/>
          <w:szCs w:val="28"/>
        </w:rPr>
        <w:t>Відповідальн</w:t>
      </w:r>
      <w:r w:rsidR="00191108" w:rsidRPr="00F24407">
        <w:rPr>
          <w:b/>
          <w:sz w:val="28"/>
          <w:szCs w:val="28"/>
        </w:rPr>
        <w:t>а</w:t>
      </w:r>
      <w:r w:rsidRPr="00F24407">
        <w:rPr>
          <w:b/>
          <w:sz w:val="28"/>
          <w:szCs w:val="28"/>
        </w:rPr>
        <w:t xml:space="preserve"> особ</w:t>
      </w:r>
      <w:r w:rsidR="00191108" w:rsidRPr="00F24407">
        <w:rPr>
          <w:b/>
          <w:sz w:val="28"/>
          <w:szCs w:val="28"/>
        </w:rPr>
        <w:t>а</w:t>
      </w:r>
      <w:r w:rsidRPr="00F24407">
        <w:rPr>
          <w:b/>
          <w:sz w:val="28"/>
          <w:szCs w:val="28"/>
        </w:rPr>
        <w:t>:</w:t>
      </w:r>
      <w:r w:rsidR="00F04ECE">
        <w:rPr>
          <w:b/>
          <w:sz w:val="28"/>
          <w:szCs w:val="28"/>
        </w:rPr>
        <w:t xml:space="preserve"> </w:t>
      </w:r>
      <w:r w:rsidRPr="00F24407">
        <w:rPr>
          <w:sz w:val="28"/>
          <w:szCs w:val="28"/>
        </w:rPr>
        <w:t>директор департаменту е</w:t>
      </w:r>
      <w:r w:rsidR="00D8710F" w:rsidRPr="00F24407">
        <w:rPr>
          <w:sz w:val="28"/>
          <w:szCs w:val="28"/>
        </w:rPr>
        <w:t xml:space="preserve">кономічної політики </w:t>
      </w:r>
      <w:proofErr w:type="spellStart"/>
      <w:r w:rsidR="00D8710F" w:rsidRPr="00F24407">
        <w:rPr>
          <w:sz w:val="28"/>
          <w:szCs w:val="28"/>
        </w:rPr>
        <w:t>Смаль</w:t>
      </w:r>
      <w:proofErr w:type="spellEnd"/>
      <w:r w:rsidR="00D8710F" w:rsidRPr="00F24407">
        <w:rPr>
          <w:sz w:val="28"/>
          <w:szCs w:val="28"/>
        </w:rPr>
        <w:t xml:space="preserve"> Б. А.</w:t>
      </w:r>
    </w:p>
    <w:p w:rsidR="00A30611" w:rsidRPr="00F24407" w:rsidRDefault="004A6001" w:rsidP="00F04ECE">
      <w:pPr>
        <w:ind w:firstLine="284"/>
        <w:jc w:val="both"/>
        <w:rPr>
          <w:sz w:val="28"/>
          <w:szCs w:val="28"/>
        </w:rPr>
      </w:pPr>
      <w:r w:rsidRPr="00F24407">
        <w:rPr>
          <w:b/>
          <w:sz w:val="28"/>
          <w:szCs w:val="28"/>
        </w:rPr>
        <w:t>Контактний телефон</w:t>
      </w:r>
      <w:r w:rsidR="00F04ECE">
        <w:rPr>
          <w:b/>
          <w:sz w:val="28"/>
          <w:szCs w:val="28"/>
        </w:rPr>
        <w:t>:</w:t>
      </w:r>
      <w:r w:rsidRPr="00F24407">
        <w:rPr>
          <w:sz w:val="28"/>
          <w:szCs w:val="28"/>
        </w:rPr>
        <w:t xml:space="preserve"> </w:t>
      </w:r>
      <w:r w:rsidR="00D8710F" w:rsidRPr="00F24407">
        <w:rPr>
          <w:sz w:val="28"/>
          <w:szCs w:val="28"/>
        </w:rPr>
        <w:t>777 955</w:t>
      </w:r>
      <w:r w:rsidRPr="00F24407">
        <w:rPr>
          <w:sz w:val="28"/>
          <w:szCs w:val="28"/>
        </w:rPr>
        <w:t>;</w:t>
      </w:r>
      <w:r w:rsidRPr="00F24407">
        <w:rPr>
          <w:color w:val="000000"/>
          <w:sz w:val="28"/>
          <w:szCs w:val="28"/>
        </w:rPr>
        <w:t xml:space="preserve"> </w:t>
      </w:r>
      <w:r w:rsidRPr="00F04ECE">
        <w:rPr>
          <w:b/>
          <w:color w:val="000000"/>
          <w:sz w:val="28"/>
          <w:szCs w:val="28"/>
        </w:rPr>
        <w:t>е-</w:t>
      </w:r>
      <w:proofErr w:type="spellStart"/>
      <w:r w:rsidRPr="00F04ECE">
        <w:rPr>
          <w:b/>
          <w:color w:val="000000"/>
          <w:sz w:val="28"/>
          <w:szCs w:val="28"/>
        </w:rPr>
        <w:t>mail</w:t>
      </w:r>
      <w:proofErr w:type="spellEnd"/>
      <w:r w:rsidRPr="00F04ECE">
        <w:rPr>
          <w:b/>
          <w:color w:val="000000"/>
          <w:sz w:val="28"/>
          <w:szCs w:val="28"/>
        </w:rPr>
        <w:t>:</w:t>
      </w:r>
      <w:r w:rsidRPr="00F24407">
        <w:rPr>
          <w:color w:val="000000"/>
          <w:sz w:val="28"/>
          <w:szCs w:val="28"/>
        </w:rPr>
        <w:t xml:space="preserve"> </w:t>
      </w:r>
      <w:hyperlink r:id="rId8">
        <w:r w:rsidRPr="00F24407">
          <w:rPr>
            <w:sz w:val="28"/>
            <w:szCs w:val="28"/>
          </w:rPr>
          <w:t>econom@lutskrada.gov.ua</w:t>
        </w:r>
      </w:hyperlink>
      <w:r w:rsidRPr="00F24407">
        <w:rPr>
          <w:color w:val="000000"/>
          <w:sz w:val="28"/>
          <w:szCs w:val="28"/>
        </w:rPr>
        <w:t xml:space="preserve"> </w:t>
      </w:r>
    </w:p>
    <w:p w:rsidR="00A30611" w:rsidRPr="00F24407" w:rsidRDefault="00A30611" w:rsidP="00F04ECE">
      <w:pPr>
        <w:ind w:firstLine="284"/>
        <w:jc w:val="both"/>
        <w:rPr>
          <w:color w:val="000000"/>
          <w:sz w:val="28"/>
          <w:szCs w:val="28"/>
        </w:rPr>
      </w:pPr>
    </w:p>
    <w:p w:rsidR="00A30611" w:rsidRPr="00F24407" w:rsidRDefault="004A6001" w:rsidP="00F04ECE">
      <w:pPr>
        <w:pStyle w:val="33"/>
        <w:suppressAutoHyphens/>
        <w:spacing w:after="0"/>
        <w:ind w:firstLine="426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Аналіз регуляторного впливу регуляторного </w:t>
      </w:r>
      <w:proofErr w:type="spellStart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рішення Луцької міської ради «Про затвердження Правил додержання тиші в громадських місцях на території Луцької міської територіальної громади» (далі – АРВ) підготовлено відповідно до вимог Закону України «Про засади державної регуляторної політики у сфері господарської діяльності», Методики проведення аналізу регуляторного впливу, затвердженої постановою Кабінету Міністрів України від 11.03.2004 № 308 (зі змінами).</w:t>
      </w:r>
    </w:p>
    <w:p w:rsidR="001E2C35" w:rsidRPr="00F24407" w:rsidRDefault="001E2C35" w:rsidP="00F04ECE">
      <w:pPr>
        <w:pStyle w:val="33"/>
        <w:suppressAutoHyphens/>
        <w:spacing w:after="0"/>
        <w:ind w:firstLine="426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АРВ визначає правові та організаційні засади реалізації </w:t>
      </w:r>
      <w:proofErr w:type="spellStart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рішення Луцької міської ради «Про затвердження Правил додержання тиші в громадських місцях на території Луцької місько</w:t>
      </w:r>
      <w:r w:rsidR="00F04ECE">
        <w:rPr>
          <w:bCs/>
          <w:color w:val="000000"/>
          <w:sz w:val="28"/>
          <w:szCs w:val="28"/>
          <w:shd w:val="clear" w:color="auto" w:fill="FFFFFF"/>
          <w:lang w:val="uk-UA"/>
        </w:rPr>
        <w:t>ї територіальної громади» (далі – </w:t>
      </w:r>
      <w:proofErr w:type="spellStart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рішення).</w:t>
      </w:r>
    </w:p>
    <w:p w:rsidR="00A30611" w:rsidRPr="00F24407" w:rsidRDefault="00A30611" w:rsidP="003B448C">
      <w:pPr>
        <w:pStyle w:val="HTM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6300" w:rsidRPr="00576300" w:rsidRDefault="004A6001" w:rsidP="00576300">
      <w:pPr>
        <w:pStyle w:val="HTML0"/>
        <w:numPr>
          <w:ilvl w:val="0"/>
          <w:numId w:val="10"/>
        </w:numPr>
        <w:tabs>
          <w:tab w:val="clear" w:pos="916"/>
          <w:tab w:val="left" w:pos="851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244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Визначення проблеми</w:t>
      </w:r>
      <w:r w:rsidR="005763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та причин її вин</w:t>
      </w:r>
      <w:r w:rsidR="00A92E5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</w:t>
      </w:r>
      <w:r w:rsidR="0057630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кнення</w:t>
      </w:r>
    </w:p>
    <w:p w:rsidR="00290A58" w:rsidRPr="00F24407" w:rsidRDefault="00290A58" w:rsidP="003B448C">
      <w:pPr>
        <w:pStyle w:val="33"/>
        <w:suppressAutoHyphens/>
        <w:spacing w:after="0"/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Питання встановлення Правил додержання тиші в громадських місцях на території Луцької міської територіальної громади належить до компетенції органів місцевого самоврядування згідно з пунктом 44 частини першої статті 26 Закону України «Про місцеве самоврядування в Україні».</w:t>
      </w:r>
    </w:p>
    <w:p w:rsidR="00290A58" w:rsidRPr="00F24407" w:rsidRDefault="00290A58" w:rsidP="003B448C">
      <w:pPr>
        <w:pStyle w:val="33"/>
        <w:suppressAutoHyphens/>
        <w:spacing w:after="0"/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Відповідно до статті 24 Закону України «Про забезпечення санітарного та епідемічного благополуччя населення»:</w:t>
      </w:r>
    </w:p>
    <w:p w:rsidR="00290A58" w:rsidRPr="00F24407" w:rsidRDefault="00290A58" w:rsidP="003B448C">
      <w:pPr>
        <w:pStyle w:val="33"/>
        <w:suppressAutoHyphens/>
        <w:spacing w:after="0"/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- міським радам  надано повноваження затверджувати  Правила додержання тиші в населених пунктах, якими з урахуванням особливостей окремих територій установлюються заборони та обмеження щодо певних видів діяльності, що супроводжуються утворенням шуму, а також установлюється порядок проведення салютів, феєрверків, інших заходів із використанням вибухових речовин і піротехнічних засобів;</w:t>
      </w:r>
    </w:p>
    <w:p w:rsidR="00290A58" w:rsidRPr="00F24407" w:rsidRDefault="00290A58" w:rsidP="003B448C">
      <w:pPr>
        <w:pStyle w:val="33"/>
        <w:suppressAutoHyphens/>
        <w:spacing w:after="0"/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- органи місцевого самоврядування зобов’язані здійснювати  відповідн</w:t>
      </w:r>
      <w:r w:rsidR="00CF6293"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і</w:t>
      </w:r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організаційні та інші заходи щодо попередження утворення та зниження шуму до рівнів, установлених санітарними нормами з метою відвернення і зменшення шкідливого впливу на здоров’я населення шуму, неіонізуючих </w:t>
      </w:r>
      <w:proofErr w:type="spellStart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випромінювань</w:t>
      </w:r>
      <w:proofErr w:type="spellEnd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та інших фізичних факторів.</w:t>
      </w:r>
    </w:p>
    <w:p w:rsidR="00290A58" w:rsidRPr="00F24407" w:rsidRDefault="00290A58" w:rsidP="003B448C">
      <w:pPr>
        <w:pStyle w:val="33"/>
        <w:suppressAutoHyphens/>
        <w:spacing w:after="0"/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Відповідно до статті 10 Закону України «Про благоустрій населених пунктів» до повноважень міських рад належить організація забезпечення на території населеного пункту дотримання тиші в громадських місцях.</w:t>
      </w:r>
    </w:p>
    <w:p w:rsidR="00290A58" w:rsidRPr="00F24407" w:rsidRDefault="00290A58" w:rsidP="003B448C">
      <w:pPr>
        <w:pStyle w:val="33"/>
        <w:suppressAutoHyphens/>
        <w:spacing w:after="0"/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lastRenderedPageBreak/>
        <w:t>Згідно зі статтею 182 КУпАП встановлена відповідальність за порушення вимог законодавчих та інших нормативно-правових актів щодо захисту населення від шкідливого впливу шуму чи правил додержання тиші в населених пунктах і громадських місцях.</w:t>
      </w:r>
    </w:p>
    <w:p w:rsidR="00CF6293" w:rsidRPr="00A92E5D" w:rsidRDefault="00CF6293" w:rsidP="003B448C">
      <w:pPr>
        <w:pStyle w:val="33"/>
        <w:suppressAutoHyphens/>
        <w:spacing w:after="0"/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A92E5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На </w:t>
      </w:r>
      <w:r w:rsidR="00576300" w:rsidRPr="00A92E5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сьогодні у</w:t>
      </w:r>
      <w:r w:rsidRPr="00A92E5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місті Луцьку діють Правил</w:t>
      </w:r>
      <w:r w:rsidR="00273DB5" w:rsidRPr="00A92E5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Pr="00A92E5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A92E5D">
        <w:rPr>
          <w:color w:val="000000" w:themeColor="text1"/>
          <w:sz w:val="28"/>
          <w:szCs w:val="28"/>
          <w:lang w:val="uk-UA"/>
        </w:rPr>
        <w:t>додержання тиші в громадських місцях на території міста Луцька, затверджені рішенням міської ради від 23.12.2008 №33/5 зі змінами (рішення міської ради від 05.06.2018 №42/93).</w:t>
      </w:r>
    </w:p>
    <w:p w:rsidR="00290A58" w:rsidRPr="00F24407" w:rsidRDefault="00290A58" w:rsidP="003B448C">
      <w:pPr>
        <w:pStyle w:val="33"/>
        <w:suppressAutoHyphens/>
        <w:spacing w:after="0"/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Відповідно до Закону України «Про добровільне об’єднання територіальних громад» та розпорядження Кабінету Міністрів України від 13.05.2020 № 590-р «Про затвердження перспективного плану формування територій громад Волинської області» до територіальної громади міста Луцька було приєднано: </w:t>
      </w:r>
      <w:r w:rsidRPr="00F24407">
        <w:rPr>
          <w:bCs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5359D8" w:rsidRPr="005359D8">
        <w:rPr>
          <w:bCs/>
          <w:sz w:val="28"/>
          <w:szCs w:val="28"/>
          <w:shd w:val="clear" w:color="auto" w:fill="FFFFFF"/>
          <w:lang w:val="uk-UA"/>
        </w:rPr>
        <w:t xml:space="preserve">Прилуцьку, </w:t>
      </w:r>
      <w:proofErr w:type="spellStart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Жидичинську</w:t>
      </w:r>
      <w:proofErr w:type="spellEnd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Княгининівську</w:t>
      </w:r>
      <w:proofErr w:type="spellEnd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bookmarkStart w:id="0" w:name="__DdeLink__1533_1711168001"/>
      <w:proofErr w:type="spellStart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Заборольську</w:t>
      </w:r>
      <w:proofErr w:type="spellEnd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Іванчицівську</w:t>
      </w:r>
      <w:proofErr w:type="spellEnd"/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територіальні громади.</w:t>
      </w:r>
      <w:bookmarkEnd w:id="0"/>
    </w:p>
    <w:p w:rsidR="00A92E5D" w:rsidRDefault="00576300" w:rsidP="003B448C">
      <w:pPr>
        <w:pStyle w:val="33"/>
        <w:suppressAutoHyphens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Також, однією із причин виникнення проблеми є те, що</w:t>
      </w:r>
      <w:r w:rsidR="00CF6293" w:rsidRPr="00F24407">
        <w:rPr>
          <w:sz w:val="28"/>
          <w:szCs w:val="28"/>
          <w:lang w:val="uk-UA"/>
        </w:rPr>
        <w:t xml:space="preserve"> з 2008 року</w:t>
      </w:r>
      <w:r w:rsidR="00D11FB6" w:rsidRPr="00F24407">
        <w:rPr>
          <w:sz w:val="28"/>
          <w:szCs w:val="28"/>
          <w:lang w:val="uk-UA"/>
        </w:rPr>
        <w:t xml:space="preserve"> відбулися зміни </w:t>
      </w:r>
      <w:r w:rsidR="00A92E5D">
        <w:rPr>
          <w:sz w:val="28"/>
          <w:szCs w:val="28"/>
          <w:lang w:val="uk-UA"/>
        </w:rPr>
        <w:t>в окремих нормативно-правових актах законодавства</w:t>
      </w:r>
      <w:r w:rsidR="00D11FB6" w:rsidRPr="00F24407">
        <w:rPr>
          <w:sz w:val="28"/>
          <w:szCs w:val="28"/>
          <w:lang w:val="uk-UA"/>
        </w:rPr>
        <w:t xml:space="preserve"> України</w:t>
      </w:r>
      <w:r w:rsidR="00A92E5D">
        <w:rPr>
          <w:sz w:val="28"/>
          <w:szCs w:val="28"/>
          <w:lang w:val="uk-UA"/>
        </w:rPr>
        <w:t xml:space="preserve"> та</w:t>
      </w:r>
      <w:r w:rsidR="00A45F86" w:rsidRPr="00F24407">
        <w:rPr>
          <w:sz w:val="28"/>
          <w:szCs w:val="28"/>
          <w:lang w:val="uk-UA"/>
        </w:rPr>
        <w:t xml:space="preserve"> </w:t>
      </w:r>
      <w:r w:rsidR="00A92E5D">
        <w:rPr>
          <w:sz w:val="28"/>
          <w:szCs w:val="28"/>
          <w:lang w:val="uk-UA"/>
        </w:rPr>
        <w:t>реорганізація</w:t>
      </w:r>
      <w:r w:rsidR="00D11FB6" w:rsidRPr="00F24407">
        <w:rPr>
          <w:sz w:val="28"/>
          <w:szCs w:val="28"/>
          <w:lang w:val="uk-UA"/>
        </w:rPr>
        <w:t xml:space="preserve"> установ і організацій, що забезпечують контроль за дотриманням тиші (Національна поліція України, Державна служба України з безпечності харчових продуктів та захисту споживачів тощо)</w:t>
      </w:r>
      <w:r w:rsidR="00A92E5D">
        <w:rPr>
          <w:sz w:val="28"/>
          <w:szCs w:val="28"/>
          <w:lang w:val="uk-UA"/>
        </w:rPr>
        <w:t>.</w:t>
      </w:r>
    </w:p>
    <w:p w:rsidR="00CF6293" w:rsidRPr="00F24407" w:rsidRDefault="00A92E5D" w:rsidP="003B448C">
      <w:pPr>
        <w:pStyle w:val="33"/>
        <w:suppressAutoHyphens/>
        <w:spacing w:after="0"/>
        <w:ind w:firstLine="567"/>
        <w:jc w:val="both"/>
        <w:rPr>
          <w:sz w:val="28"/>
          <w:szCs w:val="28"/>
          <w:lang w:val="uk-UA"/>
        </w:rPr>
      </w:pPr>
      <w:r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>Враховуючи вищезазначене,</w:t>
      </w:r>
      <w:r w:rsidRPr="00F24407">
        <w:rPr>
          <w:sz w:val="28"/>
          <w:szCs w:val="28"/>
          <w:lang w:val="uk-UA"/>
        </w:rPr>
        <w:t xml:space="preserve"> виникла необхідність затвердження нових Правил додержання тиші в громадських місцях, які будуть діяти на території Луцької міської територіальної гр</w:t>
      </w:r>
      <w:r>
        <w:rPr>
          <w:sz w:val="28"/>
          <w:szCs w:val="28"/>
          <w:lang w:val="uk-UA"/>
        </w:rPr>
        <w:t>омади та які об’єднають</w:t>
      </w:r>
      <w:r w:rsidR="003D2EDD" w:rsidRPr="00F24407">
        <w:rPr>
          <w:sz w:val="28"/>
          <w:szCs w:val="28"/>
          <w:lang w:val="uk-UA"/>
        </w:rPr>
        <w:t xml:space="preserve"> всі підходи до забезпечення захисту населення від шкідливого впливу шуму та</w:t>
      </w:r>
      <w:r>
        <w:rPr>
          <w:sz w:val="28"/>
          <w:szCs w:val="28"/>
          <w:lang w:val="uk-UA"/>
        </w:rPr>
        <w:t xml:space="preserve"> визначать</w:t>
      </w:r>
      <w:r w:rsidR="003D2EDD" w:rsidRPr="00F24407">
        <w:rPr>
          <w:sz w:val="28"/>
          <w:szCs w:val="28"/>
          <w:lang w:val="uk-UA"/>
        </w:rPr>
        <w:t xml:space="preserve"> координацію дій суб’єктів господарюв</w:t>
      </w:r>
      <w:r>
        <w:rPr>
          <w:sz w:val="28"/>
          <w:szCs w:val="28"/>
          <w:lang w:val="uk-UA"/>
        </w:rPr>
        <w:t>ання територіальної громади на яких проблема справляє вплив</w:t>
      </w:r>
      <w:r w:rsidR="003D2EDD" w:rsidRPr="00F24407">
        <w:rPr>
          <w:sz w:val="28"/>
          <w:szCs w:val="28"/>
          <w:lang w:val="uk-UA"/>
        </w:rPr>
        <w:t>.</w:t>
      </w:r>
    </w:p>
    <w:p w:rsidR="003D42A9" w:rsidRPr="00F24407" w:rsidRDefault="003D42A9" w:rsidP="003B448C">
      <w:pPr>
        <w:pStyle w:val="33"/>
        <w:suppressAutoHyphens/>
        <w:spacing w:after="0"/>
        <w:jc w:val="both"/>
        <w:rPr>
          <w:color w:val="000000"/>
          <w:sz w:val="28"/>
          <w:szCs w:val="28"/>
          <w:lang w:val="uk-UA"/>
        </w:rPr>
      </w:pPr>
    </w:p>
    <w:p w:rsidR="00A30611" w:rsidRPr="00F24407" w:rsidRDefault="00EF4B6E" w:rsidP="00F24407">
      <w:pPr>
        <w:pStyle w:val="33"/>
        <w:suppressAutoHyphens/>
        <w:spacing w:after="0"/>
        <w:jc w:val="center"/>
        <w:rPr>
          <w:sz w:val="28"/>
          <w:szCs w:val="28"/>
          <w:lang w:val="uk-UA"/>
        </w:rPr>
      </w:pPr>
      <w:r w:rsidRPr="00F24407">
        <w:rPr>
          <w:b/>
          <w:bCs/>
          <w:color w:val="000000"/>
          <w:spacing w:val="-3"/>
          <w:sz w:val="28"/>
          <w:szCs w:val="28"/>
          <w:shd w:val="clear" w:color="auto" w:fill="FFFFFF"/>
          <w:lang w:val="uk-UA"/>
        </w:rPr>
        <w:t>Г</w:t>
      </w:r>
      <w:r w:rsidR="004A6001" w:rsidRPr="00F24407">
        <w:rPr>
          <w:b/>
          <w:bCs/>
          <w:color w:val="000000"/>
          <w:spacing w:val="-3"/>
          <w:sz w:val="28"/>
          <w:szCs w:val="28"/>
          <w:shd w:val="clear" w:color="auto" w:fill="FFFFFF"/>
          <w:lang w:val="uk-UA"/>
        </w:rPr>
        <w:t>рупи (підгрупи), на які проблема справляє вплив</w:t>
      </w:r>
    </w:p>
    <w:p w:rsidR="00A30611" w:rsidRPr="00F24407" w:rsidRDefault="00A30611" w:rsidP="003B448C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2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6"/>
        <w:gridCol w:w="1985"/>
        <w:gridCol w:w="1701"/>
      </w:tblGrid>
      <w:tr w:rsidR="00A30611" w:rsidRPr="00F24407" w:rsidTr="00F24407">
        <w:trPr>
          <w:trHeight w:val="567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F24407">
            <w:pPr>
              <w:pStyle w:val="33"/>
              <w:suppressAutoHyphens/>
              <w:spacing w:after="0"/>
              <w:ind w:firstLine="567"/>
              <w:jc w:val="center"/>
              <w:rPr>
                <w:sz w:val="24"/>
                <w:szCs w:val="24"/>
                <w:lang w:val="uk-UA"/>
              </w:rPr>
            </w:pPr>
            <w:r w:rsidRPr="00F24407">
              <w:rPr>
                <w:sz w:val="24"/>
                <w:szCs w:val="24"/>
                <w:lang w:val="uk-UA"/>
              </w:rPr>
              <w:t>Групи (підгрупи)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730FD6">
            <w:pPr>
              <w:pStyle w:val="33"/>
              <w:suppressAutoHyphens/>
              <w:spacing w:after="0"/>
              <w:ind w:left="424" w:firstLine="283"/>
              <w:jc w:val="both"/>
              <w:rPr>
                <w:sz w:val="24"/>
                <w:szCs w:val="24"/>
                <w:lang w:val="uk-UA"/>
              </w:rPr>
            </w:pPr>
            <w:r w:rsidRPr="00F24407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4A6001" w:rsidP="00A92E5D">
            <w:pPr>
              <w:pStyle w:val="33"/>
              <w:suppressAutoHyphens/>
              <w:spacing w:after="0"/>
              <w:ind w:firstLine="569"/>
              <w:jc w:val="both"/>
              <w:rPr>
                <w:sz w:val="24"/>
                <w:szCs w:val="24"/>
                <w:lang w:val="uk-UA"/>
              </w:rPr>
            </w:pPr>
            <w:r w:rsidRPr="00F24407">
              <w:rPr>
                <w:sz w:val="24"/>
                <w:szCs w:val="24"/>
                <w:lang w:val="uk-UA"/>
              </w:rPr>
              <w:t>Ні</w:t>
            </w:r>
          </w:p>
        </w:tc>
      </w:tr>
      <w:tr w:rsidR="00A30611" w:rsidRPr="00F24407" w:rsidTr="00F24407">
        <w:trPr>
          <w:trHeight w:val="206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pStyle w:val="33"/>
              <w:suppressAutoHyphens/>
              <w:spacing w:after="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24407">
              <w:rPr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730FD6">
            <w:pPr>
              <w:pStyle w:val="33"/>
              <w:suppressAutoHyphens/>
              <w:spacing w:after="0"/>
              <w:ind w:left="424" w:firstLine="283"/>
              <w:jc w:val="both"/>
              <w:rPr>
                <w:sz w:val="24"/>
                <w:szCs w:val="24"/>
                <w:lang w:val="uk-UA"/>
              </w:rPr>
            </w:pPr>
            <w:r w:rsidRPr="00F24407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4A6001" w:rsidP="00A92E5D">
            <w:pPr>
              <w:pStyle w:val="33"/>
              <w:suppressAutoHyphens/>
              <w:spacing w:after="0"/>
              <w:ind w:firstLine="711"/>
              <w:rPr>
                <w:sz w:val="24"/>
                <w:szCs w:val="24"/>
                <w:lang w:val="uk-UA"/>
              </w:rPr>
            </w:pPr>
            <w:r w:rsidRPr="00F24407">
              <w:rPr>
                <w:sz w:val="24"/>
                <w:szCs w:val="24"/>
                <w:lang w:val="uk-UA"/>
              </w:rPr>
              <w:t>-</w:t>
            </w:r>
          </w:p>
        </w:tc>
      </w:tr>
      <w:tr w:rsidR="00A30611" w:rsidRPr="00F24407" w:rsidTr="00F24407">
        <w:trPr>
          <w:trHeight w:val="314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F24407" w:rsidP="003B448C">
            <w:pPr>
              <w:pStyle w:val="33"/>
              <w:suppressAutoHyphens/>
              <w:spacing w:after="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24407">
              <w:rPr>
                <w:sz w:val="24"/>
                <w:szCs w:val="24"/>
                <w:lang w:val="uk-UA"/>
              </w:rPr>
              <w:t>Орган</w:t>
            </w:r>
            <w:r w:rsidR="004A6001" w:rsidRPr="00F24407">
              <w:rPr>
                <w:sz w:val="24"/>
                <w:szCs w:val="24"/>
                <w:lang w:val="uk-UA"/>
              </w:rPr>
              <w:t xml:space="preserve"> місцевого самоврядування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730FD6">
            <w:pPr>
              <w:pStyle w:val="33"/>
              <w:suppressAutoHyphens/>
              <w:spacing w:after="0"/>
              <w:ind w:left="424" w:firstLine="283"/>
              <w:jc w:val="both"/>
              <w:rPr>
                <w:sz w:val="24"/>
                <w:szCs w:val="24"/>
                <w:lang w:val="uk-UA"/>
              </w:rPr>
            </w:pPr>
            <w:r w:rsidRPr="00F24407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4A6001" w:rsidP="00A92E5D">
            <w:pPr>
              <w:pStyle w:val="33"/>
              <w:suppressAutoHyphens/>
              <w:spacing w:after="0"/>
              <w:ind w:firstLine="711"/>
              <w:rPr>
                <w:sz w:val="24"/>
                <w:szCs w:val="24"/>
                <w:lang w:val="uk-UA"/>
              </w:rPr>
            </w:pPr>
            <w:r w:rsidRPr="00F24407">
              <w:rPr>
                <w:sz w:val="24"/>
                <w:szCs w:val="24"/>
                <w:lang w:val="uk-UA"/>
              </w:rPr>
              <w:t>-</w:t>
            </w:r>
          </w:p>
        </w:tc>
      </w:tr>
      <w:tr w:rsidR="00A30611" w:rsidRPr="00F24407" w:rsidTr="00F24407">
        <w:trPr>
          <w:trHeight w:val="222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pStyle w:val="33"/>
              <w:suppressAutoHyphens/>
              <w:spacing w:after="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24407">
              <w:rPr>
                <w:sz w:val="24"/>
                <w:szCs w:val="24"/>
                <w:lang w:val="uk-UA"/>
              </w:rPr>
              <w:t>Суб’єкти господарювання</w:t>
            </w:r>
            <w:r w:rsidR="00A92E5D">
              <w:rPr>
                <w:sz w:val="24"/>
                <w:szCs w:val="24"/>
                <w:lang w:val="uk-UA"/>
              </w:rPr>
              <w:t>,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730FD6">
            <w:pPr>
              <w:pStyle w:val="33"/>
              <w:suppressAutoHyphens/>
              <w:spacing w:after="0"/>
              <w:ind w:left="424" w:firstLine="283"/>
              <w:jc w:val="both"/>
              <w:rPr>
                <w:sz w:val="24"/>
                <w:szCs w:val="24"/>
                <w:lang w:val="uk-UA"/>
              </w:rPr>
            </w:pPr>
            <w:r w:rsidRPr="00F24407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4A6001" w:rsidP="00A92E5D">
            <w:pPr>
              <w:pStyle w:val="33"/>
              <w:suppressAutoHyphens/>
              <w:spacing w:after="0"/>
              <w:ind w:firstLine="711"/>
              <w:rPr>
                <w:sz w:val="24"/>
                <w:szCs w:val="24"/>
                <w:lang w:val="uk-UA"/>
              </w:rPr>
            </w:pPr>
            <w:r w:rsidRPr="00F24407">
              <w:rPr>
                <w:sz w:val="24"/>
                <w:szCs w:val="24"/>
                <w:lang w:val="uk-UA"/>
              </w:rPr>
              <w:t>-</w:t>
            </w:r>
          </w:p>
        </w:tc>
      </w:tr>
      <w:tr w:rsidR="00A30611" w:rsidRPr="00F24407" w:rsidTr="00F24407">
        <w:trPr>
          <w:trHeight w:val="304"/>
        </w:trPr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pStyle w:val="33"/>
              <w:suppressAutoHyphens/>
              <w:spacing w:after="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24407">
              <w:rPr>
                <w:sz w:val="24"/>
                <w:szCs w:val="24"/>
                <w:lang w:val="uk-UA"/>
              </w:rPr>
              <w:t>у тому числі суб’єкти малого підприємництва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730FD6">
            <w:pPr>
              <w:pStyle w:val="33"/>
              <w:suppressAutoHyphens/>
              <w:spacing w:after="0"/>
              <w:ind w:left="424" w:firstLine="283"/>
              <w:jc w:val="both"/>
              <w:rPr>
                <w:sz w:val="24"/>
                <w:szCs w:val="24"/>
                <w:lang w:val="uk-UA"/>
              </w:rPr>
            </w:pPr>
            <w:r w:rsidRPr="00F24407">
              <w:rPr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4A6001" w:rsidP="00A92E5D">
            <w:pPr>
              <w:pStyle w:val="33"/>
              <w:suppressAutoHyphens/>
              <w:spacing w:after="0"/>
              <w:ind w:firstLine="711"/>
              <w:rPr>
                <w:sz w:val="24"/>
                <w:szCs w:val="24"/>
                <w:lang w:val="uk-UA"/>
              </w:rPr>
            </w:pPr>
            <w:r w:rsidRPr="00F24407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A30611" w:rsidRPr="00F24407" w:rsidRDefault="00A30611" w:rsidP="003B448C">
      <w:pPr>
        <w:ind w:firstLine="709"/>
        <w:jc w:val="both"/>
        <w:rPr>
          <w:sz w:val="28"/>
          <w:szCs w:val="28"/>
        </w:rPr>
      </w:pPr>
    </w:p>
    <w:p w:rsidR="004C3F17" w:rsidRPr="00F24407" w:rsidRDefault="007F78A7" w:rsidP="003B448C">
      <w:pPr>
        <w:pStyle w:val="33"/>
        <w:suppressAutoHyphens/>
        <w:spacing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A92E5D">
        <w:rPr>
          <w:color w:val="000000" w:themeColor="text1"/>
          <w:sz w:val="28"/>
          <w:szCs w:val="28"/>
          <w:lang w:val="uk-UA"/>
        </w:rPr>
        <w:t xml:space="preserve">Проблема, яку пропонується врегулювати </w:t>
      </w:r>
      <w:r w:rsidRPr="00F24407">
        <w:rPr>
          <w:color w:val="000000"/>
          <w:sz w:val="28"/>
          <w:szCs w:val="28"/>
          <w:lang w:val="uk-UA"/>
        </w:rPr>
        <w:t>в результаті прийняття регуляторного акту, є важливою для суспільства і не може бути розв’язана за допомогою ринкових механізмів, оскільки згідно з чинним законодавством потребує врегулювання на місцевому рівні і не може бути розв’язана за допомогою діючих регуляторних актів, оскільки жоден з них не містить норми, які регулюють порушені питання.</w:t>
      </w:r>
    </w:p>
    <w:p w:rsidR="007664FF" w:rsidRPr="00F24407" w:rsidRDefault="004C3F17" w:rsidP="003B448C">
      <w:pPr>
        <w:pStyle w:val="33"/>
        <w:suppressAutoHyphens/>
        <w:spacing w:after="0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F24407">
        <w:rPr>
          <w:color w:val="000000"/>
          <w:sz w:val="28"/>
          <w:szCs w:val="28"/>
          <w:lang w:val="uk-UA"/>
        </w:rPr>
        <w:t>Проєкт</w:t>
      </w:r>
      <w:proofErr w:type="spellEnd"/>
      <w:r w:rsidRPr="00F24407">
        <w:rPr>
          <w:color w:val="000000"/>
          <w:sz w:val="28"/>
          <w:szCs w:val="28"/>
          <w:lang w:val="uk-UA"/>
        </w:rPr>
        <w:t xml:space="preserve"> регуляторного </w:t>
      </w:r>
      <w:proofErr w:type="spellStart"/>
      <w:r w:rsidRPr="00F24407">
        <w:rPr>
          <w:color w:val="000000"/>
          <w:sz w:val="28"/>
          <w:szCs w:val="28"/>
          <w:lang w:val="uk-UA"/>
        </w:rPr>
        <w:t>акта</w:t>
      </w:r>
      <w:proofErr w:type="spellEnd"/>
      <w:r w:rsidRPr="00F24407">
        <w:rPr>
          <w:color w:val="000000"/>
          <w:sz w:val="28"/>
          <w:szCs w:val="28"/>
          <w:lang w:val="uk-UA"/>
        </w:rPr>
        <w:t xml:space="preserve"> підготовлено відповідно до принципів державної регуляторної політики у сфері господарської діяльності, а саме: забезпечення доцільності, ефективності та прозорості щодо застосування норм для суб’єктів господарювання та громадян.</w:t>
      </w:r>
    </w:p>
    <w:p w:rsidR="007664FF" w:rsidRPr="00F24407" w:rsidRDefault="007664FF" w:rsidP="003B448C">
      <w:pPr>
        <w:pStyle w:val="33"/>
        <w:suppressAutoHyphens/>
        <w:spacing w:after="0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A30611" w:rsidRPr="00F24407" w:rsidRDefault="00F24407" w:rsidP="003B448C">
      <w:pPr>
        <w:pStyle w:val="33"/>
        <w:suppressAutoHyphens/>
        <w:spacing w:after="0"/>
        <w:jc w:val="both"/>
        <w:rPr>
          <w:sz w:val="28"/>
          <w:szCs w:val="28"/>
          <w:lang w:val="uk-UA"/>
        </w:rPr>
      </w:pPr>
      <w:r w:rsidRPr="00F24407">
        <w:rPr>
          <w:b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          </w:t>
      </w:r>
      <w:r w:rsidR="004A6001" w:rsidRPr="00F2440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2. Цілі регулювання</w:t>
      </w:r>
    </w:p>
    <w:p w:rsidR="00547D1C" w:rsidRPr="00F24407" w:rsidRDefault="00547D1C" w:rsidP="003B448C">
      <w:pPr>
        <w:pStyle w:val="33"/>
        <w:suppressAutoHyphens/>
        <w:spacing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F24407">
        <w:rPr>
          <w:color w:val="000000"/>
          <w:sz w:val="28"/>
          <w:szCs w:val="28"/>
          <w:lang w:val="uk-UA"/>
        </w:rPr>
        <w:t xml:space="preserve">Основною ціллю </w:t>
      </w:r>
      <w:r w:rsidR="00716B2A" w:rsidRPr="00F24407">
        <w:rPr>
          <w:color w:val="000000"/>
          <w:sz w:val="28"/>
          <w:szCs w:val="28"/>
          <w:lang w:val="uk-UA"/>
        </w:rPr>
        <w:t xml:space="preserve">розробки </w:t>
      </w:r>
      <w:proofErr w:type="spellStart"/>
      <w:r w:rsidR="00716B2A" w:rsidRPr="00F24407">
        <w:rPr>
          <w:color w:val="000000"/>
          <w:sz w:val="28"/>
          <w:szCs w:val="28"/>
          <w:lang w:val="uk-UA"/>
        </w:rPr>
        <w:t>проєкту</w:t>
      </w:r>
      <w:proofErr w:type="spellEnd"/>
      <w:r w:rsidRPr="00F24407">
        <w:rPr>
          <w:color w:val="000000"/>
          <w:sz w:val="28"/>
          <w:szCs w:val="28"/>
          <w:lang w:val="uk-UA"/>
        </w:rPr>
        <w:t xml:space="preserve"> рішення є </w:t>
      </w:r>
      <w:r w:rsidR="00716B2A" w:rsidRPr="00F24407">
        <w:rPr>
          <w:color w:val="000000"/>
          <w:sz w:val="28"/>
          <w:szCs w:val="28"/>
          <w:lang w:val="uk-UA"/>
        </w:rPr>
        <w:t>н</w:t>
      </w:r>
      <w:r w:rsidR="00716B2A" w:rsidRPr="00F244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еобхідність </w:t>
      </w:r>
      <w:r w:rsidR="00716B2A" w:rsidRPr="00F24407">
        <w:rPr>
          <w:color w:val="000000"/>
          <w:sz w:val="28"/>
          <w:szCs w:val="28"/>
          <w:lang w:val="uk-UA"/>
        </w:rPr>
        <w:t>забезпечення прав і законних інтересів громадян щодо додержання тиші на території населених пунктів Луцької міської територіальної громади, запобігання та недопущення перевищення встановлених рівнів впливу шуму та інших фізичних факторів на середовище життєдіяльності людини.</w:t>
      </w:r>
    </w:p>
    <w:p w:rsidR="00547D1C" w:rsidRPr="00F24407" w:rsidRDefault="004D4F32" w:rsidP="00A92E5D">
      <w:pPr>
        <w:pStyle w:val="33"/>
        <w:suppressAutoHyphens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Прийняття</w:t>
      </w:r>
      <w:r w:rsidR="00547D1C" w:rsidRPr="00F2440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47D1C" w:rsidRPr="00F24407">
        <w:rPr>
          <w:color w:val="000000"/>
          <w:sz w:val="28"/>
          <w:szCs w:val="28"/>
          <w:lang w:val="uk-UA"/>
        </w:rPr>
        <w:t>проєкту</w:t>
      </w:r>
      <w:proofErr w:type="spellEnd"/>
      <w:r w:rsidR="00547D1C" w:rsidRPr="00F24407">
        <w:rPr>
          <w:color w:val="000000"/>
          <w:sz w:val="28"/>
          <w:szCs w:val="28"/>
          <w:lang w:val="uk-UA"/>
        </w:rPr>
        <w:t xml:space="preserve"> регуляторного </w:t>
      </w:r>
      <w:proofErr w:type="spellStart"/>
      <w:r w:rsidR="00547D1C" w:rsidRPr="00F24407">
        <w:rPr>
          <w:color w:val="000000"/>
          <w:sz w:val="28"/>
          <w:szCs w:val="28"/>
          <w:lang w:val="uk-UA"/>
        </w:rPr>
        <w:t>акта</w:t>
      </w:r>
      <w:proofErr w:type="spellEnd"/>
      <w:r w:rsidR="00547D1C" w:rsidRPr="00F24407">
        <w:rPr>
          <w:color w:val="000000"/>
          <w:sz w:val="28"/>
          <w:szCs w:val="28"/>
          <w:lang w:val="uk-UA"/>
        </w:rPr>
        <w:t xml:space="preserve"> забезпечить  чітке визначення основних вимог щодо дотримання тиші в громадських місцях, багатоквартирних житлових будинках, попередження високих рівнів шумів</w:t>
      </w:r>
      <w:r w:rsidR="00150503" w:rsidRPr="00F24407">
        <w:rPr>
          <w:color w:val="000000"/>
          <w:sz w:val="28"/>
          <w:szCs w:val="28"/>
          <w:lang w:val="uk-UA"/>
        </w:rPr>
        <w:t xml:space="preserve"> на території громади</w:t>
      </w:r>
      <w:r w:rsidR="00547D1C" w:rsidRPr="00F24407">
        <w:rPr>
          <w:color w:val="000000"/>
          <w:sz w:val="28"/>
          <w:szCs w:val="28"/>
          <w:lang w:val="uk-UA"/>
        </w:rPr>
        <w:t>.</w:t>
      </w:r>
    </w:p>
    <w:p w:rsidR="00547D1C" w:rsidRPr="004D4F32" w:rsidRDefault="00547D1C" w:rsidP="003B448C">
      <w:pPr>
        <w:pStyle w:val="33"/>
        <w:suppressAutoHyphens/>
        <w:spacing w:after="0"/>
        <w:ind w:firstLine="709"/>
        <w:jc w:val="both"/>
        <w:rPr>
          <w:sz w:val="28"/>
          <w:szCs w:val="28"/>
          <w:lang w:val="uk-UA"/>
        </w:rPr>
      </w:pPr>
      <w:r w:rsidRPr="004D4F32">
        <w:rPr>
          <w:sz w:val="28"/>
          <w:szCs w:val="28"/>
          <w:lang w:val="uk-UA"/>
        </w:rPr>
        <w:t xml:space="preserve">Тим самим </w:t>
      </w:r>
      <w:r w:rsidR="004D4F32">
        <w:rPr>
          <w:sz w:val="28"/>
          <w:szCs w:val="28"/>
          <w:lang w:val="uk-UA"/>
        </w:rPr>
        <w:t xml:space="preserve">реалізація основних положень </w:t>
      </w:r>
      <w:r w:rsidR="007F5D57">
        <w:rPr>
          <w:sz w:val="28"/>
          <w:szCs w:val="28"/>
          <w:lang w:val="uk-UA"/>
        </w:rPr>
        <w:t>цього</w:t>
      </w:r>
      <w:r w:rsidRPr="004D4F32">
        <w:rPr>
          <w:sz w:val="28"/>
          <w:szCs w:val="28"/>
          <w:lang w:val="uk-UA"/>
        </w:rPr>
        <w:t xml:space="preserve"> регуляторного </w:t>
      </w:r>
      <w:proofErr w:type="spellStart"/>
      <w:r w:rsidRPr="004D4F32">
        <w:rPr>
          <w:sz w:val="28"/>
          <w:szCs w:val="28"/>
          <w:lang w:val="uk-UA"/>
        </w:rPr>
        <w:t>акта</w:t>
      </w:r>
      <w:proofErr w:type="spellEnd"/>
      <w:r w:rsidRPr="004D4F32">
        <w:rPr>
          <w:sz w:val="28"/>
          <w:szCs w:val="28"/>
          <w:lang w:val="uk-UA"/>
        </w:rPr>
        <w:t xml:space="preserve"> </w:t>
      </w:r>
      <w:r w:rsidR="00F82239">
        <w:rPr>
          <w:sz w:val="28"/>
          <w:szCs w:val="28"/>
          <w:lang w:val="uk-UA"/>
        </w:rPr>
        <w:t>дозволить</w:t>
      </w:r>
      <w:r w:rsidRPr="004D4F32">
        <w:rPr>
          <w:sz w:val="28"/>
          <w:szCs w:val="28"/>
          <w:lang w:val="uk-UA"/>
        </w:rPr>
        <w:t>:</w:t>
      </w:r>
    </w:p>
    <w:p w:rsidR="00547D1C" w:rsidRPr="00F24407" w:rsidRDefault="00547D1C" w:rsidP="003B448C">
      <w:pPr>
        <w:pStyle w:val="33"/>
        <w:suppressAutoHyphens/>
        <w:spacing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F24407">
        <w:rPr>
          <w:color w:val="000000"/>
          <w:sz w:val="28"/>
          <w:szCs w:val="28"/>
          <w:lang w:val="uk-UA"/>
        </w:rPr>
        <w:t xml:space="preserve">- захистити право </w:t>
      </w:r>
      <w:r w:rsidR="00150503" w:rsidRPr="00F24407">
        <w:rPr>
          <w:color w:val="000000"/>
          <w:sz w:val="28"/>
          <w:szCs w:val="28"/>
          <w:lang w:val="uk-UA"/>
        </w:rPr>
        <w:t>жителів громади</w:t>
      </w:r>
      <w:r w:rsidRPr="00F24407">
        <w:rPr>
          <w:color w:val="000000"/>
          <w:sz w:val="28"/>
          <w:szCs w:val="28"/>
          <w:lang w:val="uk-UA"/>
        </w:rPr>
        <w:t xml:space="preserve"> на тишу;</w:t>
      </w:r>
    </w:p>
    <w:p w:rsidR="00547D1C" w:rsidRPr="00F24407" w:rsidRDefault="00547D1C" w:rsidP="003B448C">
      <w:pPr>
        <w:pStyle w:val="33"/>
        <w:suppressAutoHyphens/>
        <w:spacing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F24407">
        <w:rPr>
          <w:color w:val="000000"/>
          <w:sz w:val="28"/>
          <w:szCs w:val="28"/>
          <w:lang w:val="uk-UA"/>
        </w:rPr>
        <w:t xml:space="preserve">- захистити населення </w:t>
      </w:r>
      <w:r w:rsidR="00A01F63" w:rsidRPr="00F24407">
        <w:rPr>
          <w:color w:val="000000"/>
          <w:sz w:val="28"/>
          <w:szCs w:val="28"/>
          <w:lang w:val="uk-UA"/>
        </w:rPr>
        <w:t>громади</w:t>
      </w:r>
      <w:r w:rsidRPr="00F24407">
        <w:rPr>
          <w:color w:val="000000"/>
          <w:sz w:val="28"/>
          <w:szCs w:val="28"/>
          <w:lang w:val="uk-UA"/>
        </w:rPr>
        <w:t xml:space="preserve"> від шкідливого впливу шуму;</w:t>
      </w:r>
    </w:p>
    <w:p w:rsidR="00572815" w:rsidRPr="00F24407" w:rsidRDefault="00572815" w:rsidP="003B448C">
      <w:pPr>
        <w:pStyle w:val="33"/>
        <w:suppressAutoHyphens/>
        <w:spacing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F24407">
        <w:rPr>
          <w:color w:val="000000"/>
          <w:sz w:val="28"/>
          <w:szCs w:val="28"/>
          <w:lang w:val="uk-UA"/>
        </w:rPr>
        <w:t>- зменшити кількість скарг мешканців на суб’єктів господарювання щодо недодержання ними режиму тиші;</w:t>
      </w:r>
    </w:p>
    <w:p w:rsidR="00FE1FF5" w:rsidRPr="00F24407" w:rsidRDefault="00547D1C" w:rsidP="003B448C">
      <w:pPr>
        <w:pStyle w:val="33"/>
        <w:suppressAutoHyphens/>
        <w:spacing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F24407">
        <w:rPr>
          <w:color w:val="000000"/>
          <w:sz w:val="28"/>
          <w:szCs w:val="28"/>
          <w:lang w:val="uk-UA"/>
        </w:rPr>
        <w:t>-</w:t>
      </w:r>
      <w:r w:rsidR="007C3334">
        <w:rPr>
          <w:color w:val="000000"/>
          <w:sz w:val="28"/>
          <w:szCs w:val="28"/>
          <w:lang w:val="uk-UA"/>
        </w:rPr>
        <w:t> </w:t>
      </w:r>
      <w:bookmarkStart w:id="1" w:name="_GoBack"/>
      <w:bookmarkEnd w:id="1"/>
      <w:r w:rsidRPr="00F24407">
        <w:rPr>
          <w:color w:val="000000"/>
          <w:sz w:val="28"/>
          <w:szCs w:val="28"/>
          <w:lang w:val="uk-UA"/>
        </w:rPr>
        <w:t xml:space="preserve">забезпечити контроль за додержанням тиші в громадських місцях та багатоквартирних житлових будинках </w:t>
      </w:r>
      <w:r w:rsidR="00A01F63" w:rsidRPr="00F24407">
        <w:rPr>
          <w:color w:val="000000"/>
          <w:sz w:val="28"/>
          <w:szCs w:val="28"/>
          <w:lang w:val="uk-UA"/>
        </w:rPr>
        <w:t>на території громади.</w:t>
      </w:r>
    </w:p>
    <w:p w:rsidR="00FE1FF5" w:rsidRPr="00F24407" w:rsidRDefault="00FE1FF5" w:rsidP="003B448C">
      <w:pPr>
        <w:pStyle w:val="33"/>
        <w:suppressAutoHyphens/>
        <w:spacing w:after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FE1FF5" w:rsidRPr="00F24407" w:rsidRDefault="00F24407" w:rsidP="003B448C">
      <w:pPr>
        <w:pStyle w:val="33"/>
        <w:suppressAutoHyphens/>
        <w:spacing w:after="0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       </w:t>
      </w:r>
      <w:r w:rsidR="004A6001" w:rsidRPr="00F2440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3. Визначення альтернативних способів досягнення цілі:</w:t>
      </w:r>
    </w:p>
    <w:p w:rsidR="00F24407" w:rsidRPr="00F24407" w:rsidRDefault="00F24407" w:rsidP="003B448C">
      <w:pPr>
        <w:pStyle w:val="33"/>
        <w:suppressAutoHyphens/>
        <w:spacing w:after="0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F24407" w:rsidRPr="00F24407" w:rsidTr="00F24407">
        <w:tc>
          <w:tcPr>
            <w:tcW w:w="2830" w:type="dxa"/>
          </w:tcPr>
          <w:p w:rsidR="00F24407" w:rsidRPr="00F24407" w:rsidRDefault="00F24407" w:rsidP="003B448C">
            <w:pPr>
              <w:pStyle w:val="33"/>
              <w:suppressAutoHyphens/>
              <w:spacing w:after="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24407"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Альтернатива 1</w:t>
            </w:r>
          </w:p>
        </w:tc>
        <w:tc>
          <w:tcPr>
            <w:tcW w:w="7082" w:type="dxa"/>
          </w:tcPr>
          <w:p w:rsidR="00F24407" w:rsidRPr="00F24407" w:rsidRDefault="00F24407" w:rsidP="00F24407">
            <w:pPr>
              <w:pStyle w:val="33"/>
              <w:suppressAutoHyphens/>
              <w:spacing w:after="0"/>
              <w:jc w:val="both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F2440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Збереження </w:t>
            </w:r>
            <w:r w:rsidR="002579D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існуючого стану</w:t>
            </w:r>
          </w:p>
          <w:p w:rsidR="00F24407" w:rsidRPr="00F24407" w:rsidRDefault="00F24407" w:rsidP="003B448C">
            <w:pPr>
              <w:pStyle w:val="33"/>
              <w:suppressAutoHyphens/>
              <w:spacing w:after="0"/>
              <w:jc w:val="both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</w:tr>
      <w:tr w:rsidR="00F24407" w:rsidRPr="00F24407" w:rsidTr="00F24407">
        <w:tc>
          <w:tcPr>
            <w:tcW w:w="2830" w:type="dxa"/>
          </w:tcPr>
          <w:p w:rsidR="00F24407" w:rsidRPr="00F24407" w:rsidRDefault="00F24407" w:rsidP="003B448C">
            <w:pPr>
              <w:pStyle w:val="33"/>
              <w:suppressAutoHyphens/>
              <w:spacing w:after="0"/>
              <w:jc w:val="both"/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24407">
              <w:rPr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Альтернатива 2</w:t>
            </w:r>
          </w:p>
        </w:tc>
        <w:tc>
          <w:tcPr>
            <w:tcW w:w="7082" w:type="dxa"/>
          </w:tcPr>
          <w:p w:rsidR="00F24407" w:rsidRPr="00F24407" w:rsidRDefault="00F24407" w:rsidP="00F24407">
            <w:pPr>
              <w:pStyle w:val="33"/>
              <w:suppressAutoHyphens/>
              <w:spacing w:after="0"/>
              <w:jc w:val="both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F2440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Ухвалити запропоно</w:t>
            </w:r>
            <w:r w:rsidR="002579D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ваний </w:t>
            </w:r>
            <w:proofErr w:type="spellStart"/>
            <w:r w:rsidR="002579D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проєкт</w:t>
            </w:r>
            <w:proofErr w:type="spellEnd"/>
            <w:r w:rsidR="002579D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регуляторного </w:t>
            </w:r>
            <w:proofErr w:type="spellStart"/>
            <w:r w:rsidR="002579D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акта</w:t>
            </w:r>
            <w:proofErr w:type="spellEnd"/>
          </w:p>
          <w:p w:rsidR="00F24407" w:rsidRPr="00F24407" w:rsidRDefault="00F24407" w:rsidP="003B448C">
            <w:pPr>
              <w:pStyle w:val="33"/>
              <w:suppressAutoHyphens/>
              <w:spacing w:after="0"/>
              <w:jc w:val="both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</w:tc>
      </w:tr>
    </w:tbl>
    <w:p w:rsidR="00755520" w:rsidRPr="00F24407" w:rsidRDefault="00755520" w:rsidP="003B448C">
      <w:pPr>
        <w:pStyle w:val="33"/>
        <w:suppressAutoHyphens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FE1FF5" w:rsidRPr="00F24407" w:rsidRDefault="004A6001" w:rsidP="002579DE">
      <w:pPr>
        <w:pStyle w:val="33"/>
        <w:suppressAutoHyphens/>
        <w:spacing w:after="0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F2440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4. Оцінка вибраних альтернативних способів досягнення цілей</w:t>
      </w:r>
    </w:p>
    <w:p w:rsidR="00A30611" w:rsidRPr="00A92E5D" w:rsidRDefault="004A6001" w:rsidP="002579DE">
      <w:pPr>
        <w:pStyle w:val="33"/>
        <w:suppressAutoHyphens/>
        <w:spacing w:after="0"/>
        <w:ind w:firstLine="709"/>
        <w:jc w:val="both"/>
        <w:rPr>
          <w:sz w:val="28"/>
          <w:szCs w:val="28"/>
          <w:lang w:val="uk-UA"/>
        </w:rPr>
      </w:pPr>
      <w:r w:rsidRPr="00A92E5D">
        <w:rPr>
          <w:sz w:val="28"/>
          <w:szCs w:val="28"/>
          <w:lang w:val="uk-UA"/>
        </w:rPr>
        <w:t>4.1. Оцінка впливу на сферу інтересів</w:t>
      </w:r>
      <w:r w:rsidR="008D2526" w:rsidRPr="00A92E5D">
        <w:rPr>
          <w:sz w:val="28"/>
          <w:szCs w:val="28"/>
          <w:lang w:val="uk-UA"/>
        </w:rPr>
        <w:t xml:space="preserve"> </w:t>
      </w:r>
      <w:r w:rsidRPr="00A92E5D">
        <w:rPr>
          <w:sz w:val="28"/>
          <w:szCs w:val="28"/>
          <w:lang w:val="uk-UA"/>
        </w:rPr>
        <w:t>Луцької міської ради</w:t>
      </w:r>
    </w:p>
    <w:p w:rsidR="00A30611" w:rsidRPr="00F24407" w:rsidRDefault="00A30611" w:rsidP="003B448C">
      <w:pPr>
        <w:ind w:firstLine="709"/>
        <w:jc w:val="both"/>
        <w:rPr>
          <w:b/>
          <w:sz w:val="28"/>
          <w:szCs w:val="28"/>
        </w:rPr>
      </w:pPr>
    </w:p>
    <w:tbl>
      <w:tblPr>
        <w:tblW w:w="992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544"/>
        <w:gridCol w:w="3827"/>
      </w:tblGrid>
      <w:tr w:rsidR="00A30611" w:rsidRPr="00F24407" w:rsidTr="00A92E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2579DE">
            <w:pPr>
              <w:pStyle w:val="33"/>
              <w:suppressAutoHyphens/>
              <w:spacing w:after="0"/>
              <w:ind w:firstLine="22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4407">
              <w:rPr>
                <w:color w:val="000000"/>
                <w:sz w:val="24"/>
                <w:szCs w:val="24"/>
                <w:lang w:val="uk-UA"/>
              </w:rPr>
              <w:t>Вид альтернативи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2579DE">
            <w:pPr>
              <w:pStyle w:val="33"/>
              <w:suppressAutoHyphens/>
              <w:spacing w:after="0"/>
              <w:ind w:firstLine="14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4407">
              <w:rPr>
                <w:color w:val="000000"/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4A6001" w:rsidP="002579DE">
            <w:pPr>
              <w:pStyle w:val="33"/>
              <w:suppressAutoHyphens/>
              <w:spacing w:after="0"/>
              <w:ind w:firstLine="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4407">
              <w:rPr>
                <w:color w:val="000000"/>
                <w:sz w:val="24"/>
                <w:szCs w:val="24"/>
                <w:lang w:val="uk-UA"/>
              </w:rPr>
              <w:t>Витрати</w:t>
            </w:r>
          </w:p>
        </w:tc>
      </w:tr>
      <w:tr w:rsidR="00A30611" w:rsidRPr="00F24407" w:rsidTr="00A92E5D">
        <w:trPr>
          <w:trHeight w:val="4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2579DE">
            <w:pPr>
              <w:pStyle w:val="33"/>
              <w:suppressAutoHyphens/>
              <w:spacing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4407">
              <w:rPr>
                <w:color w:val="000000"/>
                <w:sz w:val="24"/>
                <w:szCs w:val="24"/>
                <w:lang w:val="uk-UA"/>
              </w:rPr>
              <w:t>Альтернатива 1</w:t>
            </w:r>
          </w:p>
          <w:p w:rsidR="002579DE" w:rsidRDefault="002579DE" w:rsidP="002579DE">
            <w:pPr>
              <w:pStyle w:val="33"/>
              <w:suppressAutoHyphens/>
              <w:spacing w:after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  <w:p w:rsidR="002579DE" w:rsidRPr="00F24407" w:rsidRDefault="002579DE" w:rsidP="002579DE">
            <w:pPr>
              <w:pStyle w:val="33"/>
              <w:suppressAutoHyphens/>
              <w:spacing w:after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F2440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Збереження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існуючого стану</w:t>
            </w:r>
          </w:p>
          <w:p w:rsidR="00A30611" w:rsidRPr="00F24407" w:rsidRDefault="00A30611" w:rsidP="002579DE">
            <w:pPr>
              <w:pStyle w:val="33"/>
              <w:suppressAutoHyphens/>
              <w:spacing w:after="0"/>
              <w:ind w:firstLine="709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FD6" w:rsidRDefault="00730FD6" w:rsidP="00730FD6">
            <w:pPr>
              <w:pStyle w:val="33"/>
              <w:suppressAutoHyphens/>
              <w:spacing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30611" w:rsidRPr="00F24407" w:rsidRDefault="008C67B7" w:rsidP="008C67B7">
            <w:pPr>
              <w:pStyle w:val="33"/>
              <w:suppressAutoHyphens/>
              <w:spacing w:after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="00C32510">
              <w:rPr>
                <w:color w:val="000000"/>
                <w:sz w:val="24"/>
                <w:szCs w:val="24"/>
                <w:lang w:val="uk-UA"/>
              </w:rPr>
              <w:t>дійснення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контролю за дотриманням вимог щодо захисту населення від шкідливого впливу шуму, застосування заходів адміністративного впливу до порушників правил дотримання тиші на території міста Луцька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D6" w:rsidRDefault="00730FD6" w:rsidP="002579DE">
            <w:pPr>
              <w:pStyle w:val="33"/>
              <w:suppressAutoHyphens/>
              <w:spacing w:after="0"/>
              <w:ind w:right="135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30611" w:rsidRPr="00F24407" w:rsidRDefault="00B61C2A" w:rsidP="00C32510">
            <w:pPr>
              <w:pStyle w:val="33"/>
              <w:suppressAutoHyphens/>
              <w:spacing w:after="0"/>
              <w:ind w:right="135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24407">
              <w:rPr>
                <w:color w:val="000000"/>
                <w:sz w:val="24"/>
                <w:szCs w:val="24"/>
                <w:lang w:val="uk-UA"/>
              </w:rPr>
              <w:t xml:space="preserve">Проблема не </w:t>
            </w:r>
            <w:r w:rsidR="00216FF4" w:rsidRPr="00F24407">
              <w:rPr>
                <w:color w:val="000000"/>
                <w:sz w:val="24"/>
                <w:szCs w:val="24"/>
                <w:lang w:val="uk-UA"/>
              </w:rPr>
              <w:t xml:space="preserve">буде </w:t>
            </w:r>
            <w:r w:rsidRPr="00F24407">
              <w:rPr>
                <w:color w:val="000000"/>
                <w:sz w:val="24"/>
                <w:szCs w:val="24"/>
                <w:lang w:val="uk-UA"/>
              </w:rPr>
              <w:t>розв’язана, цілей регулювання не буде досягнуто</w:t>
            </w:r>
            <w:r w:rsidR="008C67B7">
              <w:rPr>
                <w:color w:val="000000"/>
                <w:sz w:val="24"/>
                <w:szCs w:val="24"/>
                <w:lang w:val="uk-UA"/>
              </w:rPr>
              <w:t xml:space="preserve"> на</w:t>
            </w:r>
            <w:r w:rsidR="00C32510">
              <w:rPr>
                <w:color w:val="000000"/>
                <w:sz w:val="24"/>
                <w:szCs w:val="24"/>
                <w:lang w:val="uk-UA"/>
              </w:rPr>
              <w:t xml:space="preserve"> т</w:t>
            </w:r>
            <w:r w:rsidR="008C67B7">
              <w:rPr>
                <w:color w:val="000000"/>
                <w:sz w:val="24"/>
                <w:szCs w:val="24"/>
                <w:lang w:val="uk-UA"/>
              </w:rPr>
              <w:t xml:space="preserve">ериторії </w:t>
            </w:r>
            <w:proofErr w:type="spellStart"/>
            <w:r w:rsidR="008C67B7">
              <w:rPr>
                <w:color w:val="000000"/>
                <w:sz w:val="24"/>
                <w:szCs w:val="24"/>
                <w:lang w:val="uk-UA"/>
              </w:rPr>
              <w:t>старостинських</w:t>
            </w:r>
            <w:proofErr w:type="spellEnd"/>
            <w:r w:rsidR="008C67B7">
              <w:rPr>
                <w:color w:val="000000"/>
                <w:sz w:val="24"/>
                <w:szCs w:val="24"/>
                <w:lang w:val="uk-UA"/>
              </w:rPr>
              <w:t xml:space="preserve"> округів ЛМТГ</w:t>
            </w:r>
          </w:p>
        </w:tc>
      </w:tr>
      <w:tr w:rsidR="00A30611" w:rsidRPr="00F24407" w:rsidTr="00A92E5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Default="004A6001" w:rsidP="002579DE">
            <w:pPr>
              <w:pStyle w:val="33"/>
              <w:suppressAutoHyphens/>
              <w:spacing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24407">
              <w:rPr>
                <w:color w:val="000000"/>
                <w:sz w:val="24"/>
                <w:szCs w:val="24"/>
                <w:lang w:val="uk-UA"/>
              </w:rPr>
              <w:t>Альтернатива 2</w:t>
            </w:r>
          </w:p>
          <w:p w:rsidR="002579DE" w:rsidRDefault="002579DE" w:rsidP="002579DE">
            <w:pPr>
              <w:pStyle w:val="33"/>
              <w:suppressAutoHyphens/>
              <w:spacing w:after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  <w:p w:rsidR="002579DE" w:rsidRPr="00F24407" w:rsidRDefault="00216FF4" w:rsidP="002579DE">
            <w:pPr>
              <w:pStyle w:val="33"/>
              <w:suppressAutoHyphens/>
              <w:spacing w:after="0"/>
              <w:jc w:val="center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</w:t>
            </w:r>
            <w:r w:rsidR="00A92E5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рий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няти </w:t>
            </w:r>
            <w:r w:rsidR="002579DE" w:rsidRPr="00F2440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запропоно</w:t>
            </w:r>
            <w:r w:rsidR="002579D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ваний </w:t>
            </w:r>
            <w:proofErr w:type="spellStart"/>
            <w:r w:rsidR="002579D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проєкт</w:t>
            </w:r>
            <w:proofErr w:type="spellEnd"/>
            <w:r w:rsidR="002579D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регуляторного </w:t>
            </w:r>
            <w:proofErr w:type="spellStart"/>
            <w:r w:rsidR="002579D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акта</w:t>
            </w:r>
            <w:proofErr w:type="spellEnd"/>
          </w:p>
          <w:p w:rsidR="002579DE" w:rsidRPr="00F24407" w:rsidRDefault="002579DE" w:rsidP="002579DE">
            <w:pPr>
              <w:pStyle w:val="33"/>
              <w:suppressAutoHyphens/>
              <w:spacing w:after="0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A30611" w:rsidRPr="00F24407" w:rsidRDefault="00A30611" w:rsidP="002579DE">
            <w:pPr>
              <w:pStyle w:val="33"/>
              <w:suppressAutoHyphens/>
              <w:spacing w:after="0"/>
              <w:ind w:firstLine="709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5D2C" w:rsidRPr="00F24407" w:rsidRDefault="00851A99" w:rsidP="008C67B7">
            <w:pPr>
              <w:pStyle w:val="33"/>
              <w:suppressAutoHyphens/>
              <w:spacing w:after="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Підвищення контролю за дотриманням вимог щодо захисту населення від шкідливого впливу шуму, застосування заходів адміністративного впливу до порушників правил дотримання тиші</w:t>
            </w:r>
            <w:r w:rsidR="002A02D3">
              <w:rPr>
                <w:color w:val="000000"/>
                <w:sz w:val="24"/>
                <w:szCs w:val="24"/>
                <w:lang w:val="uk-UA"/>
              </w:rPr>
              <w:t xml:space="preserve"> на території громади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FD6" w:rsidRDefault="00730FD6" w:rsidP="008C67B7">
            <w:pPr>
              <w:pStyle w:val="33"/>
              <w:suppressAutoHyphens/>
              <w:spacing w:after="0"/>
              <w:ind w:right="135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A30611" w:rsidRPr="00F24407" w:rsidRDefault="004A6001" w:rsidP="008C67B7">
            <w:pPr>
              <w:pStyle w:val="33"/>
              <w:suppressAutoHyphens/>
              <w:spacing w:after="0"/>
              <w:ind w:right="135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24407">
              <w:rPr>
                <w:color w:val="000000"/>
                <w:sz w:val="24"/>
                <w:szCs w:val="24"/>
                <w:lang w:val="uk-UA"/>
              </w:rPr>
              <w:t xml:space="preserve">Опублікування </w:t>
            </w:r>
            <w:proofErr w:type="spellStart"/>
            <w:r w:rsidRPr="00F24407">
              <w:rPr>
                <w:color w:val="000000"/>
                <w:sz w:val="24"/>
                <w:szCs w:val="24"/>
                <w:lang w:val="uk-UA"/>
              </w:rPr>
              <w:t>про</w:t>
            </w:r>
            <w:r w:rsidR="00C83953" w:rsidRPr="00F24407">
              <w:rPr>
                <w:color w:val="000000"/>
                <w:sz w:val="24"/>
                <w:szCs w:val="24"/>
                <w:lang w:val="uk-UA"/>
              </w:rPr>
              <w:t>є</w:t>
            </w:r>
            <w:r w:rsidRPr="00F24407">
              <w:rPr>
                <w:color w:val="000000"/>
                <w:sz w:val="24"/>
                <w:szCs w:val="24"/>
                <w:lang w:val="uk-UA"/>
              </w:rPr>
              <w:t>кту</w:t>
            </w:r>
            <w:proofErr w:type="spellEnd"/>
            <w:r w:rsidRPr="00F244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216FF4">
              <w:rPr>
                <w:color w:val="000000"/>
                <w:sz w:val="24"/>
                <w:szCs w:val="24"/>
                <w:lang w:val="uk-UA"/>
              </w:rPr>
              <w:t xml:space="preserve">регуляторного </w:t>
            </w:r>
            <w:proofErr w:type="spellStart"/>
            <w:r w:rsidR="00216FF4">
              <w:rPr>
                <w:color w:val="000000"/>
                <w:sz w:val="24"/>
                <w:szCs w:val="24"/>
                <w:lang w:val="uk-UA"/>
              </w:rPr>
              <w:t>акта</w:t>
            </w:r>
            <w:proofErr w:type="spellEnd"/>
            <w:r w:rsidR="00216FF4">
              <w:rPr>
                <w:color w:val="000000"/>
                <w:sz w:val="24"/>
                <w:szCs w:val="24"/>
                <w:lang w:val="uk-UA"/>
              </w:rPr>
              <w:t xml:space="preserve"> та </w:t>
            </w:r>
            <w:r w:rsidR="00B32E6E">
              <w:rPr>
                <w:color w:val="000000"/>
                <w:sz w:val="24"/>
                <w:szCs w:val="24"/>
                <w:lang w:val="uk-UA"/>
              </w:rPr>
              <w:t>ухваленого</w:t>
            </w:r>
            <w:r w:rsidR="00216FF4">
              <w:rPr>
                <w:color w:val="000000"/>
                <w:sz w:val="24"/>
                <w:szCs w:val="24"/>
                <w:lang w:val="uk-UA"/>
              </w:rPr>
              <w:t xml:space="preserve"> рішення у засобах</w:t>
            </w:r>
            <w:r w:rsidR="000A34D2" w:rsidRPr="00F24407">
              <w:rPr>
                <w:color w:val="000000"/>
                <w:sz w:val="24"/>
                <w:szCs w:val="24"/>
                <w:lang w:val="uk-UA"/>
              </w:rPr>
              <w:t xml:space="preserve"> масової інформації</w:t>
            </w:r>
          </w:p>
          <w:p w:rsidR="00A30611" w:rsidRPr="00F24407" w:rsidRDefault="00A30611" w:rsidP="008C67B7">
            <w:pPr>
              <w:pStyle w:val="33"/>
              <w:suppressAutoHyphens/>
              <w:spacing w:after="0"/>
              <w:ind w:firstLine="709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30611" w:rsidRDefault="00A30611" w:rsidP="003B448C">
      <w:pPr>
        <w:ind w:firstLine="709"/>
        <w:jc w:val="both"/>
        <w:rPr>
          <w:sz w:val="28"/>
          <w:szCs w:val="28"/>
        </w:rPr>
      </w:pPr>
    </w:p>
    <w:p w:rsidR="002579DE" w:rsidRDefault="002579DE" w:rsidP="003B448C">
      <w:pPr>
        <w:ind w:firstLine="709"/>
        <w:jc w:val="both"/>
        <w:rPr>
          <w:sz w:val="28"/>
          <w:szCs w:val="28"/>
        </w:rPr>
      </w:pPr>
    </w:p>
    <w:p w:rsidR="002579DE" w:rsidRDefault="002579DE" w:rsidP="003B448C">
      <w:pPr>
        <w:ind w:firstLine="709"/>
        <w:jc w:val="both"/>
        <w:rPr>
          <w:sz w:val="28"/>
          <w:szCs w:val="28"/>
        </w:rPr>
      </w:pPr>
    </w:p>
    <w:p w:rsidR="002579DE" w:rsidRDefault="002579DE" w:rsidP="003B448C">
      <w:pPr>
        <w:ind w:firstLine="709"/>
        <w:jc w:val="both"/>
        <w:rPr>
          <w:sz w:val="28"/>
          <w:szCs w:val="28"/>
        </w:rPr>
      </w:pPr>
    </w:p>
    <w:p w:rsidR="00A92E5D" w:rsidRDefault="00A92E5D" w:rsidP="003B448C">
      <w:pPr>
        <w:ind w:firstLine="709"/>
        <w:jc w:val="both"/>
        <w:rPr>
          <w:sz w:val="28"/>
          <w:szCs w:val="28"/>
        </w:rPr>
      </w:pPr>
    </w:p>
    <w:p w:rsidR="002579DE" w:rsidRDefault="002579DE" w:rsidP="003B448C">
      <w:pPr>
        <w:ind w:firstLine="709"/>
        <w:jc w:val="both"/>
        <w:rPr>
          <w:sz w:val="28"/>
          <w:szCs w:val="28"/>
        </w:rPr>
      </w:pPr>
    </w:p>
    <w:p w:rsidR="00A30611" w:rsidRPr="00A92E5D" w:rsidRDefault="004A6001" w:rsidP="002579DE">
      <w:pPr>
        <w:ind w:firstLine="709"/>
        <w:jc w:val="both"/>
        <w:textAlignment w:val="baseline"/>
        <w:rPr>
          <w:bCs/>
          <w:sz w:val="28"/>
          <w:szCs w:val="28"/>
        </w:rPr>
      </w:pPr>
      <w:r w:rsidRPr="00A92E5D">
        <w:rPr>
          <w:bCs/>
          <w:sz w:val="28"/>
          <w:szCs w:val="28"/>
        </w:rPr>
        <w:t>4.2. Оцінка впливу на сферу інтересів громадян</w:t>
      </w:r>
    </w:p>
    <w:p w:rsidR="002579DE" w:rsidRPr="00F24407" w:rsidRDefault="002579DE" w:rsidP="002579DE">
      <w:pPr>
        <w:ind w:firstLine="709"/>
        <w:jc w:val="both"/>
        <w:textAlignment w:val="baseline"/>
        <w:rPr>
          <w:b/>
          <w:bCs/>
          <w:sz w:val="28"/>
          <w:szCs w:val="28"/>
        </w:rPr>
      </w:pP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3544"/>
        <w:gridCol w:w="3685"/>
      </w:tblGrid>
      <w:tr w:rsidR="00A30611" w:rsidRPr="00F24407" w:rsidTr="00DE07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>Вид альтернативи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>Вигоди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>Витрати</w:t>
            </w:r>
          </w:p>
        </w:tc>
      </w:tr>
      <w:tr w:rsidR="00A30611" w:rsidRPr="00F24407" w:rsidTr="00DE0753">
        <w:trPr>
          <w:trHeight w:val="778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851A99" w:rsidP="003B448C">
            <w:pPr>
              <w:spacing w:before="150" w:after="150"/>
              <w:textAlignment w:val="baseline"/>
            </w:pPr>
            <w:r>
              <w:t xml:space="preserve">  </w:t>
            </w:r>
            <w:r w:rsidR="004A6001" w:rsidRPr="00F24407">
              <w:t>Альтернатива 1</w:t>
            </w:r>
          </w:p>
          <w:p w:rsidR="00A30611" w:rsidRPr="00F24407" w:rsidRDefault="00A30611" w:rsidP="003B448C">
            <w:pPr>
              <w:spacing w:before="150" w:after="150"/>
              <w:textAlignment w:val="baseline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A99" w:rsidRDefault="00851A99" w:rsidP="003B448C">
            <w:pPr>
              <w:tabs>
                <w:tab w:val="center" w:pos="4153"/>
                <w:tab w:val="right" w:pos="8306"/>
              </w:tabs>
            </w:pPr>
            <w:r>
              <w:t xml:space="preserve">  </w:t>
            </w:r>
          </w:p>
          <w:p w:rsidR="00805D4C" w:rsidRPr="00F24407" w:rsidRDefault="00805D4C" w:rsidP="00805D4C">
            <w:pPr>
              <w:pStyle w:val="af1"/>
              <w:jc w:val="both"/>
            </w:pPr>
            <w:r>
              <w:t>З</w:t>
            </w:r>
            <w:r w:rsidRPr="00F24407">
              <w:t xml:space="preserve">абезпечення </w:t>
            </w:r>
            <w:r>
              <w:t xml:space="preserve">захисту </w:t>
            </w:r>
            <w:r w:rsidRPr="00F24407">
              <w:t>прав і законних інтересів громадян щодо доде</w:t>
            </w:r>
            <w:r>
              <w:t>ржання тиші на території міста Луцька</w:t>
            </w:r>
            <w:r w:rsidRPr="00F24407">
              <w:t>;</w:t>
            </w:r>
          </w:p>
          <w:p w:rsidR="00805D4C" w:rsidRPr="00F24407" w:rsidRDefault="00805D4C" w:rsidP="00805D4C">
            <w:pPr>
              <w:pStyle w:val="af1"/>
              <w:jc w:val="both"/>
            </w:pPr>
            <w:r>
              <w:t xml:space="preserve">   У</w:t>
            </w:r>
            <w:r w:rsidRPr="00F24407">
              <w:t>порядкування та здійснення контролю за додержанням тиші в громадських місцях та багатоквартирних житлови</w:t>
            </w:r>
            <w:r>
              <w:t>х будинках в місті Луцьку.</w:t>
            </w:r>
          </w:p>
          <w:p w:rsidR="00A30611" w:rsidRPr="00F24407" w:rsidRDefault="00805D4C" w:rsidP="00805D4C">
            <w:pPr>
              <w:tabs>
                <w:tab w:val="center" w:pos="4153"/>
                <w:tab w:val="right" w:pos="8306"/>
              </w:tabs>
              <w:jc w:val="both"/>
            </w:pPr>
            <w:r>
              <w:t xml:space="preserve">    З</w:t>
            </w:r>
            <w:r w:rsidRPr="00F24407">
              <w:t>апобігання та недопущення перевищення встановлених рівнів шуму та інших фізичних факторів на се</w:t>
            </w:r>
            <w:r>
              <w:t>редовище життєдіяльності мешканців міста Луцька</w:t>
            </w:r>
            <w:r w:rsidRPr="00F24407"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851A99" w:rsidP="00576300">
            <w:pPr>
              <w:tabs>
                <w:tab w:val="center" w:pos="4153"/>
                <w:tab w:val="right" w:pos="8306"/>
              </w:tabs>
              <w:jc w:val="both"/>
            </w:pPr>
            <w:r>
              <w:t xml:space="preserve"> </w:t>
            </w:r>
            <w:r w:rsidR="00216FF4">
              <w:t xml:space="preserve">  </w:t>
            </w:r>
            <w:r>
              <w:t xml:space="preserve"> </w:t>
            </w:r>
            <w:r w:rsidR="00216FF4">
              <w:t>Порушення норм грома</w:t>
            </w:r>
            <w:r w:rsidR="00576300">
              <w:t>дського порядку, в тому числі</w:t>
            </w:r>
            <w:r w:rsidR="00216FF4">
              <w:t xml:space="preserve"> правил дотримання тиші на територіях сільських населених пунктів громади</w:t>
            </w:r>
            <w:r w:rsidR="00474D04">
              <w:t xml:space="preserve">. Частина громадян не </w:t>
            </w:r>
            <w:proofErr w:type="spellStart"/>
            <w:r w:rsidR="00474D04">
              <w:t>убезпечена</w:t>
            </w:r>
            <w:proofErr w:type="spellEnd"/>
            <w:r w:rsidR="00474D04">
              <w:t xml:space="preserve"> від негативних наслідків впливу шуму тощо.</w:t>
            </w:r>
          </w:p>
        </w:tc>
      </w:tr>
      <w:tr w:rsidR="00A30611" w:rsidRPr="00F24407" w:rsidTr="00DE075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216FF4" w:rsidP="003B448C">
            <w:pPr>
              <w:spacing w:before="150" w:after="150"/>
              <w:textAlignment w:val="baseline"/>
            </w:pPr>
            <w:r>
              <w:t xml:space="preserve">  </w:t>
            </w:r>
            <w:r w:rsidR="004A6001" w:rsidRPr="00F24407">
              <w:t>Альтернатива 2</w:t>
            </w:r>
          </w:p>
          <w:p w:rsidR="00A30611" w:rsidRPr="00F24407" w:rsidRDefault="00A30611" w:rsidP="003B448C">
            <w:pPr>
              <w:spacing w:before="150" w:after="150"/>
              <w:textAlignment w:val="baseline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5D2C" w:rsidRPr="00F24407" w:rsidRDefault="00851A99" w:rsidP="003B448C">
            <w:pPr>
              <w:pStyle w:val="af1"/>
              <w:jc w:val="both"/>
            </w:pPr>
            <w:r>
              <w:t xml:space="preserve">   </w:t>
            </w:r>
            <w:r w:rsidR="00576300">
              <w:t>З</w:t>
            </w:r>
            <w:r w:rsidR="003E5D2C" w:rsidRPr="00F24407">
              <w:t xml:space="preserve">абезпечення </w:t>
            </w:r>
            <w:r w:rsidR="00576300">
              <w:t xml:space="preserve">захисту </w:t>
            </w:r>
            <w:r w:rsidR="003E5D2C" w:rsidRPr="00F24407">
              <w:t>прав і законних інтересів громадян щодо додержання тиші на території громади;</w:t>
            </w:r>
          </w:p>
          <w:p w:rsidR="003E5D2C" w:rsidRPr="00F24407" w:rsidRDefault="00576300" w:rsidP="003B448C">
            <w:pPr>
              <w:pStyle w:val="af1"/>
              <w:jc w:val="both"/>
            </w:pPr>
            <w:r>
              <w:t xml:space="preserve">   У</w:t>
            </w:r>
            <w:r w:rsidR="003E5D2C" w:rsidRPr="00F24407">
              <w:t>порядкування та здійснення контролю за додержанням тиші в громадських місцях та багатоквартирних житлови</w:t>
            </w:r>
            <w:r>
              <w:t>х будинках.</w:t>
            </w:r>
          </w:p>
          <w:p w:rsidR="00A30611" w:rsidRPr="00F24407" w:rsidRDefault="00576300" w:rsidP="00576300">
            <w:pPr>
              <w:pStyle w:val="af1"/>
              <w:jc w:val="both"/>
            </w:pPr>
            <w:r>
              <w:t xml:space="preserve">    З</w:t>
            </w:r>
            <w:r w:rsidR="003E5D2C" w:rsidRPr="00F24407">
              <w:t>апобігання та недопущення перевищення встановлених рівнів шуму та інших фізичних факторів на се</w:t>
            </w:r>
            <w:r w:rsidR="00474D04">
              <w:t>редовище життєдіяльності мешканців громади</w:t>
            </w:r>
            <w:r w:rsidR="003024B7" w:rsidRPr="00F24407"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D2C" w:rsidRPr="00F24407" w:rsidRDefault="00216FF4" w:rsidP="003B448C">
            <w:pPr>
              <w:pStyle w:val="af1"/>
              <w:jc w:val="both"/>
            </w:pPr>
            <w:r>
              <w:t xml:space="preserve"> </w:t>
            </w:r>
            <w:r w:rsidR="00851A99">
              <w:t xml:space="preserve"> </w:t>
            </w:r>
            <w:r w:rsidR="00A92E5D">
              <w:t xml:space="preserve">  </w:t>
            </w:r>
            <w:r w:rsidR="00576300">
              <w:t xml:space="preserve"> О</w:t>
            </w:r>
            <w:r w:rsidR="003E5D2C" w:rsidRPr="00F24407">
              <w:t xml:space="preserve">знайомлення з основними положеннями регуляторного </w:t>
            </w:r>
            <w:proofErr w:type="spellStart"/>
            <w:r w:rsidR="003E5D2C" w:rsidRPr="00F24407">
              <w:t>акта</w:t>
            </w:r>
            <w:proofErr w:type="spellEnd"/>
            <w:r w:rsidR="00C83953" w:rsidRPr="00F24407">
              <w:t>.</w:t>
            </w:r>
          </w:p>
          <w:p w:rsidR="00572815" w:rsidRPr="00F24407" w:rsidRDefault="00851A99" w:rsidP="003B448C">
            <w:pPr>
              <w:pStyle w:val="af1"/>
              <w:jc w:val="both"/>
            </w:pPr>
            <w:r>
              <w:t xml:space="preserve">   </w:t>
            </w:r>
          </w:p>
          <w:p w:rsidR="00A30611" w:rsidRPr="00F24407" w:rsidRDefault="00A30611" w:rsidP="003B448C">
            <w:pPr>
              <w:spacing w:before="150" w:after="150"/>
              <w:jc w:val="center"/>
              <w:textAlignment w:val="baseline"/>
            </w:pPr>
          </w:p>
        </w:tc>
      </w:tr>
    </w:tbl>
    <w:p w:rsidR="002579DE" w:rsidRDefault="002579DE" w:rsidP="003B448C">
      <w:pPr>
        <w:ind w:hanging="57"/>
        <w:jc w:val="both"/>
        <w:textAlignment w:val="baseline"/>
        <w:rPr>
          <w:b/>
          <w:bCs/>
          <w:sz w:val="28"/>
          <w:szCs w:val="28"/>
        </w:rPr>
      </w:pPr>
    </w:p>
    <w:p w:rsidR="00A30611" w:rsidRDefault="004A6001" w:rsidP="002579DE">
      <w:pPr>
        <w:ind w:firstLine="709"/>
        <w:jc w:val="both"/>
        <w:textAlignment w:val="baseline"/>
        <w:rPr>
          <w:bCs/>
          <w:sz w:val="28"/>
          <w:szCs w:val="28"/>
        </w:rPr>
      </w:pPr>
      <w:r w:rsidRPr="00A92E5D">
        <w:rPr>
          <w:bCs/>
          <w:sz w:val="28"/>
          <w:szCs w:val="28"/>
        </w:rPr>
        <w:t>4.3 Оцінка впливу на сферу інтересів суб’єктів господарювання</w:t>
      </w:r>
    </w:p>
    <w:p w:rsidR="00FE6A46" w:rsidRDefault="00FE6A46" w:rsidP="002579DE">
      <w:pPr>
        <w:ind w:firstLine="709"/>
        <w:jc w:val="both"/>
        <w:textAlignment w:val="baseline"/>
        <w:rPr>
          <w:bCs/>
          <w:sz w:val="28"/>
          <w:szCs w:val="28"/>
        </w:rPr>
      </w:pPr>
    </w:p>
    <w:p w:rsidR="00A30611" w:rsidRPr="00F24407" w:rsidRDefault="00A30611" w:rsidP="003B448C">
      <w:pPr>
        <w:ind w:firstLine="709"/>
        <w:jc w:val="both"/>
        <w:rPr>
          <w:sz w:val="28"/>
          <w:szCs w:val="28"/>
        </w:rPr>
      </w:pP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275"/>
        <w:gridCol w:w="1418"/>
        <w:gridCol w:w="1276"/>
        <w:gridCol w:w="1417"/>
      </w:tblGrid>
      <w:tr w:rsidR="00A30611" w:rsidRPr="00F24407" w:rsidTr="002579DE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>Показник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  <w:rPr>
                <w:lang w:eastAsia="ru-RU"/>
              </w:rPr>
            </w:pPr>
            <w:r w:rsidRPr="00F24407">
              <w:rPr>
                <w:lang w:eastAsia="ru-RU"/>
              </w:rPr>
              <w:t>Великі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  <w:rPr>
                <w:lang w:eastAsia="ru-RU"/>
              </w:rPr>
            </w:pPr>
            <w:r w:rsidRPr="00F24407">
              <w:rPr>
                <w:lang w:eastAsia="ru-RU"/>
              </w:rPr>
              <w:t>Середні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2A02" w:rsidRPr="00F24407" w:rsidRDefault="004A6001" w:rsidP="003B448C">
            <w:pPr>
              <w:spacing w:before="150" w:after="150"/>
              <w:jc w:val="center"/>
              <w:textAlignment w:val="baseline"/>
              <w:rPr>
                <w:lang w:eastAsia="ru-RU"/>
              </w:rPr>
            </w:pPr>
            <w:r w:rsidRPr="00F24407">
              <w:rPr>
                <w:lang w:eastAsia="ru-RU"/>
              </w:rPr>
              <w:t>Малі</w:t>
            </w:r>
            <w:r w:rsidR="000D2A02" w:rsidRPr="00F24407">
              <w:rPr>
                <w:lang w:eastAsia="ru-RU"/>
              </w:rPr>
              <w:t xml:space="preserve"> </w:t>
            </w:r>
          </w:p>
          <w:p w:rsidR="00A30611" w:rsidRPr="00F24407" w:rsidRDefault="000D2A02" w:rsidP="003B448C">
            <w:pPr>
              <w:spacing w:before="150" w:after="150"/>
              <w:jc w:val="center"/>
              <w:textAlignment w:val="baseline"/>
              <w:rPr>
                <w:lang w:eastAsia="ru-RU"/>
              </w:rPr>
            </w:pPr>
            <w:r w:rsidRPr="00F24407">
              <w:rPr>
                <w:lang w:eastAsia="ru-RU"/>
              </w:rPr>
              <w:t xml:space="preserve">(в </w:t>
            </w:r>
            <w:proofErr w:type="spellStart"/>
            <w:r w:rsidRPr="00F24407">
              <w:rPr>
                <w:lang w:eastAsia="ru-RU"/>
              </w:rPr>
              <w:t>т.ч</w:t>
            </w:r>
            <w:proofErr w:type="spellEnd"/>
            <w:r w:rsidRPr="00F24407">
              <w:rPr>
                <w:lang w:eastAsia="ru-RU"/>
              </w:rPr>
              <w:t>. мікро)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  <w:rPr>
                <w:lang w:eastAsia="ru-RU"/>
              </w:rPr>
            </w:pPr>
            <w:r w:rsidRPr="00F24407">
              <w:rPr>
                <w:lang w:eastAsia="ru-RU"/>
              </w:rPr>
              <w:t>Мікро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  <w:rPr>
                <w:lang w:eastAsia="ru-RU"/>
              </w:rPr>
            </w:pPr>
            <w:r w:rsidRPr="00F24407">
              <w:rPr>
                <w:lang w:eastAsia="ru-RU"/>
              </w:rPr>
              <w:t>Разом</w:t>
            </w:r>
          </w:p>
        </w:tc>
      </w:tr>
      <w:tr w:rsidR="00A30611" w:rsidRPr="00F24407" w:rsidTr="002579DE">
        <w:trPr>
          <w:trHeight w:val="156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textAlignment w:val="baseline"/>
            </w:pPr>
            <w:r w:rsidRPr="00F24407"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0D2A02" w:rsidP="003B448C">
            <w:pPr>
              <w:spacing w:before="150" w:after="150"/>
              <w:jc w:val="center"/>
              <w:textAlignment w:val="baseline"/>
              <w:rPr>
                <w:color w:val="000000" w:themeColor="text1"/>
                <w:lang w:eastAsia="ru-RU"/>
              </w:rPr>
            </w:pPr>
            <w:r w:rsidRPr="00F24407">
              <w:rPr>
                <w:color w:val="000000" w:themeColor="text1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0D2A02" w:rsidP="003B448C">
            <w:pPr>
              <w:spacing w:before="150" w:after="150"/>
              <w:jc w:val="center"/>
              <w:textAlignment w:val="baseline"/>
              <w:rPr>
                <w:color w:val="000000" w:themeColor="text1"/>
                <w:lang w:eastAsia="ru-RU"/>
              </w:rPr>
            </w:pPr>
            <w:r w:rsidRPr="00F24407">
              <w:rPr>
                <w:color w:val="000000" w:themeColor="text1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0D2A02" w:rsidP="003B448C">
            <w:pPr>
              <w:spacing w:before="150" w:after="150"/>
              <w:jc w:val="center"/>
              <w:textAlignment w:val="baseline"/>
              <w:rPr>
                <w:color w:val="000000" w:themeColor="text1"/>
                <w:lang w:eastAsia="ru-RU"/>
              </w:rPr>
            </w:pPr>
            <w:r w:rsidRPr="00F24407">
              <w:rPr>
                <w:color w:val="000000" w:themeColor="text1"/>
              </w:rPr>
              <w:t xml:space="preserve">9 </w:t>
            </w:r>
            <w:r w:rsidR="00784430" w:rsidRPr="00F24407">
              <w:rPr>
                <w:color w:val="000000" w:themeColor="text1"/>
              </w:rPr>
              <w:t>689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0D2A02" w:rsidP="003B448C">
            <w:pPr>
              <w:spacing w:before="150" w:after="150"/>
              <w:jc w:val="center"/>
              <w:textAlignment w:val="baseline"/>
              <w:rPr>
                <w:color w:val="000000" w:themeColor="text1"/>
                <w:lang w:eastAsia="ru-RU"/>
              </w:rPr>
            </w:pPr>
            <w:r w:rsidRPr="00F24407">
              <w:rPr>
                <w:color w:val="000000" w:themeColor="text1"/>
              </w:rPr>
              <w:t xml:space="preserve">8 </w:t>
            </w:r>
            <w:r w:rsidR="00784430" w:rsidRPr="00F24407">
              <w:rPr>
                <w:color w:val="000000" w:themeColor="text1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0D2A02" w:rsidP="003B448C">
            <w:pPr>
              <w:spacing w:before="150" w:after="150"/>
              <w:jc w:val="center"/>
              <w:textAlignment w:val="baseline"/>
              <w:rPr>
                <w:color w:val="000000" w:themeColor="text1"/>
                <w:lang w:eastAsia="ru-RU"/>
              </w:rPr>
            </w:pPr>
            <w:r w:rsidRPr="00F24407">
              <w:rPr>
                <w:color w:val="000000" w:themeColor="text1"/>
              </w:rPr>
              <w:t xml:space="preserve">9 </w:t>
            </w:r>
            <w:r w:rsidR="00784430" w:rsidRPr="00F24407">
              <w:rPr>
                <w:color w:val="000000" w:themeColor="text1"/>
              </w:rPr>
              <w:t>715</w:t>
            </w:r>
          </w:p>
        </w:tc>
      </w:tr>
      <w:tr w:rsidR="00A30611" w:rsidRPr="00F24407" w:rsidTr="002579DE">
        <w:trPr>
          <w:trHeight w:val="112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5B73F2">
            <w:pPr>
              <w:spacing w:before="150" w:after="150"/>
              <w:textAlignment w:val="baseline"/>
            </w:pPr>
            <w:r w:rsidRPr="00F24407">
              <w:t xml:space="preserve">Питома вага групи у загальній кількості, </w:t>
            </w:r>
            <w:r w:rsidR="005B73F2"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0D2A02" w:rsidP="003B448C">
            <w:pPr>
              <w:spacing w:before="150" w:after="150"/>
              <w:jc w:val="center"/>
              <w:textAlignment w:val="baseline"/>
              <w:rPr>
                <w:color w:val="000000" w:themeColor="text1"/>
                <w:lang w:eastAsia="ru-RU"/>
              </w:rPr>
            </w:pPr>
            <w:r w:rsidRPr="00F24407">
              <w:rPr>
                <w:color w:val="000000" w:themeColor="text1"/>
                <w:lang w:eastAsia="ru-RU"/>
              </w:rPr>
              <w:t>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0D2A02" w:rsidP="003B448C">
            <w:pPr>
              <w:spacing w:before="150" w:after="150"/>
              <w:jc w:val="center"/>
              <w:textAlignment w:val="baseline"/>
              <w:rPr>
                <w:color w:val="000000" w:themeColor="text1"/>
                <w:lang w:eastAsia="ru-RU"/>
              </w:rPr>
            </w:pPr>
            <w:r w:rsidRPr="00F24407">
              <w:rPr>
                <w:color w:val="000000" w:themeColor="text1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0D2A02" w:rsidP="003B448C">
            <w:pPr>
              <w:spacing w:before="150" w:after="150"/>
              <w:jc w:val="center"/>
              <w:textAlignment w:val="baseline"/>
              <w:rPr>
                <w:color w:val="000000" w:themeColor="text1"/>
                <w:lang w:eastAsia="ru-RU"/>
              </w:rPr>
            </w:pPr>
            <w:r w:rsidRPr="00F24407">
              <w:rPr>
                <w:color w:val="000000" w:themeColor="text1"/>
                <w:lang w:eastAsia="ru-RU"/>
              </w:rPr>
              <w:t>99,7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0D2A02" w:rsidP="003B448C">
            <w:pPr>
              <w:spacing w:before="150" w:after="150"/>
              <w:jc w:val="center"/>
              <w:textAlignment w:val="baseline"/>
              <w:rPr>
                <w:color w:val="000000" w:themeColor="text1"/>
                <w:lang w:eastAsia="ru-RU"/>
              </w:rPr>
            </w:pPr>
            <w:r w:rsidRPr="00F24407">
              <w:rPr>
                <w:color w:val="000000" w:themeColor="text1"/>
                <w:lang w:eastAsia="ru-RU"/>
              </w:rPr>
              <w:t>84,8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  <w:rPr>
                <w:color w:val="000000" w:themeColor="text1"/>
                <w:lang w:eastAsia="ru-RU"/>
              </w:rPr>
            </w:pPr>
            <w:r w:rsidRPr="00F24407">
              <w:rPr>
                <w:color w:val="000000" w:themeColor="text1"/>
                <w:lang w:eastAsia="ru-RU"/>
              </w:rPr>
              <w:t>100</w:t>
            </w:r>
          </w:p>
        </w:tc>
      </w:tr>
    </w:tbl>
    <w:p w:rsidR="00A30611" w:rsidRDefault="00A30611" w:rsidP="003B448C">
      <w:pPr>
        <w:ind w:firstLine="709"/>
        <w:jc w:val="both"/>
        <w:rPr>
          <w:sz w:val="28"/>
          <w:szCs w:val="28"/>
        </w:rPr>
      </w:pPr>
    </w:p>
    <w:p w:rsidR="00DF2CAA" w:rsidRDefault="00DF2CAA" w:rsidP="00DF2CAA">
      <w:pPr>
        <w:pStyle w:val="a7"/>
        <w:spacing w:after="0"/>
        <w:ind w:right="-144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Середня кількість </w:t>
      </w:r>
      <w:r w:rsidRPr="00317B36">
        <w:rPr>
          <w:color w:val="000000"/>
          <w:sz w:val="28"/>
          <w:szCs w:val="28"/>
        </w:rPr>
        <w:t>суб’єктів підприємництва</w:t>
      </w:r>
      <w:r>
        <w:rPr>
          <w:color w:val="000000"/>
          <w:sz w:val="28"/>
          <w:szCs w:val="28"/>
        </w:rPr>
        <w:t xml:space="preserve"> в рік</w:t>
      </w:r>
      <w:r w:rsidRPr="00317B3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що виявляють бажання здійснювати діяльність в нічний час, а отже</w:t>
      </w:r>
      <w:r w:rsidRPr="00317B36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них п</w:t>
      </w:r>
      <w:r w:rsidRPr="00317B36">
        <w:rPr>
          <w:color w:val="000000"/>
          <w:sz w:val="28"/>
          <w:szCs w:val="28"/>
        </w:rPr>
        <w:t>оширюється регулювання</w:t>
      </w:r>
      <w:r>
        <w:rPr>
          <w:color w:val="000000"/>
          <w:sz w:val="28"/>
          <w:szCs w:val="28"/>
        </w:rPr>
        <w:t xml:space="preserve"> </w:t>
      </w:r>
      <w:r w:rsidRPr="00317B36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148 (діяльність здійснюють в 110 об</w:t>
      </w:r>
      <w:r w:rsidRPr="009653B8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єктах)</w:t>
      </w:r>
      <w:r w:rsidRPr="00317B36">
        <w:rPr>
          <w:color w:val="000000"/>
          <w:sz w:val="28"/>
          <w:szCs w:val="28"/>
        </w:rPr>
        <w:t>, в тому числі:</w:t>
      </w:r>
      <w:r>
        <w:rPr>
          <w:color w:val="000000"/>
          <w:sz w:val="28"/>
          <w:szCs w:val="28"/>
        </w:rPr>
        <w:t xml:space="preserve"> </w:t>
      </w:r>
      <w:r w:rsidRPr="00317B36">
        <w:rPr>
          <w:color w:val="000000"/>
          <w:sz w:val="28"/>
          <w:szCs w:val="28"/>
        </w:rPr>
        <w:t xml:space="preserve">великих </w:t>
      </w:r>
      <w:r>
        <w:rPr>
          <w:color w:val="000000"/>
          <w:sz w:val="28"/>
          <w:szCs w:val="28"/>
        </w:rPr>
        <w:t>та</w:t>
      </w:r>
      <w:r w:rsidRPr="00317B36">
        <w:rPr>
          <w:color w:val="000000"/>
          <w:sz w:val="28"/>
          <w:szCs w:val="28"/>
        </w:rPr>
        <w:t xml:space="preserve"> середніх –</w:t>
      </w:r>
      <w:r>
        <w:rPr>
          <w:color w:val="000000"/>
          <w:sz w:val="28"/>
          <w:szCs w:val="28"/>
        </w:rPr>
        <w:t>8 (діяльність здійснюють в 45 об</w:t>
      </w:r>
      <w:r w:rsidRPr="009653B8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єктах)</w:t>
      </w:r>
      <w:r w:rsidRPr="00317B36">
        <w:rPr>
          <w:color w:val="000000"/>
          <w:sz w:val="28"/>
          <w:szCs w:val="28"/>
        </w:rPr>
        <w:t xml:space="preserve">,  малих – </w:t>
      </w:r>
      <w:r>
        <w:rPr>
          <w:color w:val="000000"/>
          <w:sz w:val="28"/>
          <w:szCs w:val="28"/>
        </w:rPr>
        <w:t>140 (діяльність здійснюють в 65 об</w:t>
      </w:r>
      <w:r w:rsidRPr="009653B8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єктах).</w:t>
      </w:r>
    </w:p>
    <w:p w:rsidR="00DF2CAA" w:rsidRDefault="00DF2CAA" w:rsidP="00DF2CAA">
      <w:pPr>
        <w:pStyle w:val="a7"/>
        <w:spacing w:after="0"/>
        <w:ind w:right="-144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Середня кількість </w:t>
      </w:r>
      <w:r w:rsidRPr="00317B36">
        <w:rPr>
          <w:color w:val="000000"/>
          <w:sz w:val="28"/>
          <w:szCs w:val="28"/>
        </w:rPr>
        <w:t>суб’єктів</w:t>
      </w:r>
      <w:r>
        <w:rPr>
          <w:color w:val="000000"/>
          <w:sz w:val="28"/>
          <w:szCs w:val="28"/>
        </w:rPr>
        <w:t xml:space="preserve"> малого</w:t>
      </w:r>
      <w:r w:rsidRPr="00317B36">
        <w:rPr>
          <w:color w:val="000000"/>
          <w:sz w:val="28"/>
          <w:szCs w:val="28"/>
        </w:rPr>
        <w:t xml:space="preserve"> підприємництва</w:t>
      </w:r>
      <w:r>
        <w:rPr>
          <w:color w:val="000000"/>
          <w:sz w:val="28"/>
          <w:szCs w:val="28"/>
        </w:rPr>
        <w:t xml:space="preserve"> в рік</w:t>
      </w:r>
      <w:r w:rsidRPr="00317B3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що виявляють бажання здійснювати діяльність в денний час, а отже</w:t>
      </w:r>
      <w:r w:rsidRPr="00317B36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них п</w:t>
      </w:r>
      <w:r w:rsidRPr="00317B36">
        <w:rPr>
          <w:color w:val="000000"/>
          <w:sz w:val="28"/>
          <w:szCs w:val="28"/>
        </w:rPr>
        <w:t xml:space="preserve">оширюється </w:t>
      </w:r>
      <w:r>
        <w:rPr>
          <w:color w:val="000000"/>
          <w:sz w:val="28"/>
          <w:szCs w:val="28"/>
        </w:rPr>
        <w:t xml:space="preserve">незначне </w:t>
      </w:r>
      <w:r w:rsidRPr="00317B36">
        <w:rPr>
          <w:color w:val="000000"/>
          <w:sz w:val="28"/>
          <w:szCs w:val="28"/>
        </w:rPr>
        <w:t>регулювання</w:t>
      </w:r>
      <w:r>
        <w:rPr>
          <w:color w:val="000000"/>
          <w:sz w:val="28"/>
          <w:szCs w:val="28"/>
        </w:rPr>
        <w:t xml:space="preserve"> </w:t>
      </w:r>
      <w:r w:rsidRPr="00317B36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100 (діяльність здійснюють в 50 об</w:t>
      </w:r>
      <w:r w:rsidRPr="009653B8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єктах).</w:t>
      </w:r>
    </w:p>
    <w:p w:rsidR="00474D04" w:rsidRPr="00F24407" w:rsidRDefault="00474D04" w:rsidP="003B448C">
      <w:pPr>
        <w:ind w:firstLine="709"/>
        <w:jc w:val="both"/>
        <w:rPr>
          <w:sz w:val="28"/>
          <w:szCs w:val="28"/>
        </w:rPr>
      </w:pP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0"/>
        <w:gridCol w:w="3935"/>
        <w:gridCol w:w="3251"/>
      </w:tblGrid>
      <w:tr w:rsidR="00A30611" w:rsidRPr="00F24407" w:rsidTr="00DE0753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>Вид альтернативи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>Вигоди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>Витрати</w:t>
            </w:r>
          </w:p>
        </w:tc>
      </w:tr>
      <w:tr w:rsidR="00A92733" w:rsidRPr="00A92733" w:rsidTr="00DE0753">
        <w:trPr>
          <w:trHeight w:val="778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216FF4" w:rsidP="003B448C">
            <w:pPr>
              <w:spacing w:before="150" w:after="150"/>
              <w:textAlignment w:val="baseline"/>
            </w:pPr>
            <w:r>
              <w:t xml:space="preserve"> </w:t>
            </w:r>
            <w:r w:rsidR="004A6001" w:rsidRPr="00F24407">
              <w:t>Альтернатива 1</w:t>
            </w:r>
          </w:p>
          <w:p w:rsidR="00A30611" w:rsidRPr="00F24407" w:rsidRDefault="00A30611" w:rsidP="003B448C">
            <w:pPr>
              <w:spacing w:before="150" w:after="150"/>
              <w:textAlignment w:val="baseline"/>
            </w:pPr>
          </w:p>
          <w:p w:rsidR="00A30611" w:rsidRPr="00F24407" w:rsidRDefault="00A30611" w:rsidP="003B448C">
            <w:pPr>
              <w:spacing w:before="150" w:after="150"/>
              <w:textAlignment w:val="baseline"/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2733" w:rsidRPr="00F24407" w:rsidRDefault="00A92733" w:rsidP="00A92733">
            <w:pPr>
              <w:pStyle w:val="af1"/>
              <w:jc w:val="both"/>
            </w:pPr>
            <w:r>
              <w:t xml:space="preserve">    </w:t>
            </w:r>
            <w:r w:rsidRPr="00F24407">
              <w:t>1.</w:t>
            </w:r>
            <w:r>
              <w:t> </w:t>
            </w:r>
            <w:r w:rsidRPr="00F24407">
              <w:t xml:space="preserve">Встановлення чіткого алгоритму дій здійснення на території </w:t>
            </w:r>
            <w:r>
              <w:t>міста Луцька</w:t>
            </w:r>
            <w:r w:rsidRPr="00F24407">
              <w:t xml:space="preserve"> господарської діяльності з додержанням режиму тиші.</w:t>
            </w:r>
          </w:p>
          <w:p w:rsidR="00A92733" w:rsidRPr="00F24407" w:rsidRDefault="00A92733" w:rsidP="00A92733">
            <w:pPr>
              <w:pStyle w:val="af1"/>
              <w:jc w:val="both"/>
            </w:pPr>
            <w:r>
              <w:t xml:space="preserve">    </w:t>
            </w:r>
            <w:r w:rsidRPr="00F24407">
              <w:t>2.</w:t>
            </w:r>
            <w:r>
              <w:t> </w:t>
            </w:r>
            <w:r w:rsidRPr="00F24407">
              <w:t>Визначення переліку заходів щодо попередження дії  та зниження шуму до допустимих рівнів</w:t>
            </w:r>
            <w:r>
              <w:t xml:space="preserve"> в місті Луцьку</w:t>
            </w:r>
            <w:r w:rsidRPr="00F24407">
              <w:t>.</w:t>
            </w:r>
          </w:p>
          <w:p w:rsidR="00A92733" w:rsidRPr="00F24407" w:rsidRDefault="00A92733" w:rsidP="00A92733">
            <w:pPr>
              <w:pStyle w:val="af1"/>
              <w:jc w:val="both"/>
            </w:pPr>
            <w:r>
              <w:t xml:space="preserve">    </w:t>
            </w:r>
            <w:r w:rsidRPr="00F24407">
              <w:t>3.</w:t>
            </w:r>
            <w:r>
              <w:t> </w:t>
            </w:r>
            <w:r w:rsidRPr="00F24407">
              <w:t>Зменшення кількості скарг мешканців на суб’єктів господарювання щодо недодержання ними режиму тиші</w:t>
            </w:r>
            <w:r>
              <w:t xml:space="preserve"> в місті Луцьку</w:t>
            </w:r>
            <w:r w:rsidRPr="00F24407">
              <w:t>.</w:t>
            </w:r>
          </w:p>
          <w:p w:rsidR="00A30611" w:rsidRPr="00F24407" w:rsidRDefault="00A92733" w:rsidP="00A92733">
            <w:pPr>
              <w:tabs>
                <w:tab w:val="center" w:pos="4153"/>
                <w:tab w:val="right" w:pos="8306"/>
              </w:tabs>
              <w:jc w:val="both"/>
            </w:pPr>
            <w:r>
              <w:t xml:space="preserve">    </w:t>
            </w:r>
            <w:r w:rsidRPr="00F24407">
              <w:t>4.</w:t>
            </w:r>
            <w:r>
              <w:t> </w:t>
            </w:r>
            <w:r w:rsidRPr="00F24407">
              <w:t>Встановлення випадків, на які певні вимоги щодо додержання тиші та об</w:t>
            </w:r>
            <w:r>
              <w:t xml:space="preserve">меження певних видів діяльності </w:t>
            </w:r>
            <w:r w:rsidRPr="00F24407">
              <w:t>не поширюються</w:t>
            </w:r>
            <w:r>
              <w:t xml:space="preserve"> на території міста Луцька</w:t>
            </w:r>
            <w:r w:rsidRPr="00F24407">
              <w:t>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A92733" w:rsidRDefault="00176340" w:rsidP="00F605DE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  <w:r w:rsidR="00A92733" w:rsidRPr="00A92733">
              <w:rPr>
                <w:color w:val="000000" w:themeColor="text1"/>
              </w:rPr>
              <w:t xml:space="preserve">Витрати, </w:t>
            </w:r>
            <w:proofErr w:type="spellStart"/>
            <w:r w:rsidR="00A92733" w:rsidRPr="00A92733">
              <w:rPr>
                <w:color w:val="000000" w:themeColor="text1"/>
              </w:rPr>
              <w:t>пов</w:t>
            </w:r>
            <w:proofErr w:type="spellEnd"/>
            <w:r w:rsidR="00A92733" w:rsidRPr="00A92733">
              <w:rPr>
                <w:color w:val="000000" w:themeColor="text1"/>
                <w:lang w:val="ru-RU"/>
              </w:rPr>
              <w:t>’</w:t>
            </w:r>
            <w:proofErr w:type="spellStart"/>
            <w:r w:rsidR="00A92733" w:rsidRPr="00A92733">
              <w:rPr>
                <w:color w:val="000000" w:themeColor="text1"/>
              </w:rPr>
              <w:t>язані</w:t>
            </w:r>
            <w:proofErr w:type="spellEnd"/>
            <w:r w:rsidR="00A92733" w:rsidRPr="00A92733">
              <w:rPr>
                <w:color w:val="000000" w:themeColor="text1"/>
              </w:rPr>
              <w:t xml:space="preserve"> з встановленням режиму роботи закладів в місті Луцьку</w:t>
            </w:r>
          </w:p>
        </w:tc>
      </w:tr>
      <w:tr w:rsidR="00705006" w:rsidRPr="00F24407" w:rsidTr="00DE0753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5006" w:rsidRPr="00F24407" w:rsidRDefault="00705006" w:rsidP="003B448C">
            <w:pPr>
              <w:spacing w:before="150" w:after="150"/>
              <w:textAlignment w:val="baseline"/>
            </w:pPr>
            <w:r w:rsidRPr="00F24407">
              <w:t>Альтернатива 2</w:t>
            </w:r>
          </w:p>
          <w:p w:rsidR="00705006" w:rsidRPr="00F24407" w:rsidRDefault="00705006" w:rsidP="003B448C">
            <w:pPr>
              <w:spacing w:before="150" w:after="150"/>
              <w:textAlignment w:val="baseline"/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2815" w:rsidRPr="00F24407" w:rsidRDefault="00474D04" w:rsidP="003B448C">
            <w:pPr>
              <w:pStyle w:val="af1"/>
              <w:jc w:val="both"/>
            </w:pPr>
            <w:r>
              <w:t xml:space="preserve">    </w:t>
            </w:r>
            <w:r w:rsidR="00705006" w:rsidRPr="00F24407">
              <w:t>1.</w:t>
            </w:r>
            <w:r w:rsidR="0057427C">
              <w:t> </w:t>
            </w:r>
            <w:r w:rsidR="00705006" w:rsidRPr="00F24407">
              <w:t>Встановлення чіткого алгоритму дій здійснення на території громади господарської діяльності</w:t>
            </w:r>
            <w:r w:rsidR="00572815" w:rsidRPr="00F24407">
              <w:t xml:space="preserve"> з додержанням режиму тиші.</w:t>
            </w:r>
          </w:p>
          <w:p w:rsidR="00572815" w:rsidRPr="00F24407" w:rsidRDefault="00474D04" w:rsidP="003B448C">
            <w:pPr>
              <w:pStyle w:val="af1"/>
              <w:jc w:val="both"/>
            </w:pPr>
            <w:r>
              <w:t xml:space="preserve">    </w:t>
            </w:r>
            <w:r w:rsidR="00572815" w:rsidRPr="00F24407">
              <w:t>2.</w:t>
            </w:r>
            <w:r w:rsidR="0057427C">
              <w:t> </w:t>
            </w:r>
            <w:r w:rsidR="00572815" w:rsidRPr="00F24407">
              <w:t xml:space="preserve">Визначення </w:t>
            </w:r>
            <w:r w:rsidR="00705006" w:rsidRPr="00F24407">
              <w:t>переліку заходів щодо попередження дії  та зни</w:t>
            </w:r>
            <w:r w:rsidR="00572815" w:rsidRPr="00F24407">
              <w:t>ження шуму до допустимих рівнів.</w:t>
            </w:r>
          </w:p>
          <w:p w:rsidR="00705006" w:rsidRPr="00F24407" w:rsidRDefault="00474D04" w:rsidP="003B448C">
            <w:pPr>
              <w:pStyle w:val="af1"/>
              <w:jc w:val="both"/>
            </w:pPr>
            <w:r>
              <w:t xml:space="preserve">    </w:t>
            </w:r>
            <w:r w:rsidR="00572815" w:rsidRPr="00F24407">
              <w:t>3.</w:t>
            </w:r>
            <w:r w:rsidR="0057427C">
              <w:t> </w:t>
            </w:r>
            <w:r w:rsidR="00572815" w:rsidRPr="00F24407">
              <w:t>З</w:t>
            </w:r>
            <w:r w:rsidR="00705006" w:rsidRPr="00F24407">
              <w:t>меншення кількості скарг мешканців на суб’єктів господарювання щодо недодержання ними режиму тиш</w:t>
            </w:r>
            <w:r w:rsidR="00D022C6" w:rsidRPr="00F24407">
              <w:t>і</w:t>
            </w:r>
            <w:r w:rsidR="00572815" w:rsidRPr="00F24407">
              <w:t>.</w:t>
            </w:r>
          </w:p>
          <w:p w:rsidR="00705006" w:rsidRPr="00F24407" w:rsidRDefault="00474D04" w:rsidP="003B448C">
            <w:pPr>
              <w:pStyle w:val="af1"/>
              <w:jc w:val="both"/>
            </w:pPr>
            <w:r>
              <w:t xml:space="preserve">    </w:t>
            </w:r>
            <w:r w:rsidR="00572815" w:rsidRPr="00F24407">
              <w:t>4.</w:t>
            </w:r>
            <w:r w:rsidR="0057427C">
              <w:t> </w:t>
            </w:r>
            <w:r w:rsidR="00572815" w:rsidRPr="00F24407">
              <w:t>В</w:t>
            </w:r>
            <w:r w:rsidR="00705006" w:rsidRPr="00F24407">
              <w:t>становлення випадків, на які певні вимоги щодо додержання тиші та обмеження певних видів діяльності не поширюються</w:t>
            </w:r>
            <w:r w:rsidR="003024B7" w:rsidRPr="00F24407">
              <w:t>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006" w:rsidRPr="00F24407" w:rsidRDefault="0057427C" w:rsidP="009149E3">
            <w:pPr>
              <w:pStyle w:val="af1"/>
              <w:jc w:val="both"/>
            </w:pPr>
            <w:r>
              <w:t xml:space="preserve">    </w:t>
            </w:r>
            <w:r w:rsidR="00682338" w:rsidRPr="00176340">
              <w:rPr>
                <w:color w:val="000000" w:themeColor="text1"/>
              </w:rPr>
              <w:t>Необхідність дотримання певних</w:t>
            </w:r>
            <w:r w:rsidR="00F56357" w:rsidRPr="00176340">
              <w:rPr>
                <w:color w:val="000000" w:themeColor="text1"/>
              </w:rPr>
              <w:t xml:space="preserve"> вимог для встановлення режиму роботи </w:t>
            </w:r>
            <w:r w:rsidR="00C04DAA" w:rsidRPr="00176340">
              <w:rPr>
                <w:color w:val="000000" w:themeColor="text1"/>
              </w:rPr>
              <w:t>підпорядкованих об’єктів</w:t>
            </w:r>
            <w:r w:rsidR="009149E3">
              <w:rPr>
                <w:color w:val="000000" w:themeColor="text1"/>
              </w:rPr>
              <w:t xml:space="preserve"> на території громади</w:t>
            </w:r>
          </w:p>
        </w:tc>
      </w:tr>
    </w:tbl>
    <w:p w:rsidR="00D77997" w:rsidRPr="00F24407" w:rsidRDefault="00D77997" w:rsidP="003B448C">
      <w:pPr>
        <w:jc w:val="both"/>
        <w:rPr>
          <w:b/>
          <w:bCs/>
          <w:color w:val="000000"/>
          <w:sz w:val="28"/>
          <w:szCs w:val="28"/>
        </w:rPr>
      </w:pPr>
    </w:p>
    <w:p w:rsidR="005B73F2" w:rsidRDefault="00111DEF" w:rsidP="005B73F2">
      <w:pPr>
        <w:ind w:firstLine="851"/>
        <w:jc w:val="both"/>
        <w:rPr>
          <w:b/>
          <w:sz w:val="28"/>
          <w:szCs w:val="28"/>
          <w:shd w:val="clear" w:color="auto" w:fill="FFFFFF"/>
        </w:rPr>
      </w:pPr>
      <w:r w:rsidRPr="005B73F2">
        <w:rPr>
          <w:b/>
          <w:bCs/>
          <w:sz w:val="28"/>
          <w:szCs w:val="28"/>
        </w:rPr>
        <w:t>5.</w:t>
      </w:r>
      <w:r w:rsidR="004A6001" w:rsidRPr="005B73F2">
        <w:rPr>
          <w:b/>
          <w:bCs/>
          <w:sz w:val="28"/>
          <w:szCs w:val="28"/>
        </w:rPr>
        <w:t xml:space="preserve"> Витрати, які виникають внаслідок дії регуляторного </w:t>
      </w:r>
      <w:proofErr w:type="spellStart"/>
      <w:r w:rsidR="004A6001" w:rsidRPr="005B73F2">
        <w:rPr>
          <w:b/>
          <w:bCs/>
          <w:sz w:val="28"/>
          <w:szCs w:val="28"/>
        </w:rPr>
        <w:t>акта</w:t>
      </w:r>
      <w:proofErr w:type="spellEnd"/>
      <w:r w:rsidR="00F56357" w:rsidRPr="005B73F2">
        <w:rPr>
          <w:b/>
          <w:bCs/>
          <w:sz w:val="28"/>
          <w:szCs w:val="28"/>
        </w:rPr>
        <w:t xml:space="preserve"> на </w:t>
      </w:r>
      <w:r w:rsidR="00F56357" w:rsidRPr="005B73F2">
        <w:rPr>
          <w:b/>
          <w:sz w:val="28"/>
          <w:szCs w:val="28"/>
        </w:rPr>
        <w:t xml:space="preserve">сферу інтересів суб’єктів господарювання </w:t>
      </w:r>
      <w:r w:rsidR="00A46EAD" w:rsidRPr="005B73F2">
        <w:rPr>
          <w:sz w:val="28"/>
          <w:szCs w:val="28"/>
          <w:shd w:val="clear" w:color="auto" w:fill="FFFFFF"/>
        </w:rPr>
        <w:t> </w:t>
      </w:r>
      <w:r w:rsidR="00A46EAD" w:rsidRPr="005B73F2">
        <w:rPr>
          <w:b/>
          <w:sz w:val="28"/>
          <w:szCs w:val="28"/>
          <w:shd w:val="clear" w:color="auto" w:fill="FFFFFF"/>
        </w:rPr>
        <w:t>великого і середнього підприємництва</w:t>
      </w:r>
    </w:p>
    <w:p w:rsidR="00A30611" w:rsidRPr="00F24407" w:rsidRDefault="00A46EAD" w:rsidP="005B73F2">
      <w:pPr>
        <w:ind w:firstLine="851"/>
        <w:jc w:val="both"/>
        <w:rPr>
          <w:sz w:val="28"/>
          <w:szCs w:val="28"/>
        </w:rPr>
      </w:pPr>
      <w:r w:rsidRPr="005B73F2">
        <w:rPr>
          <w:b/>
          <w:sz w:val="28"/>
          <w:szCs w:val="28"/>
          <w:shd w:val="clear" w:color="auto" w:fill="FFFFFF"/>
        </w:rPr>
        <w:t> </w:t>
      </w: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1"/>
        <w:gridCol w:w="2835"/>
      </w:tblGrid>
      <w:tr w:rsidR="005B73F2" w:rsidRPr="005B73F2" w:rsidTr="0057427C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DF2CAA" w:rsidRDefault="004A6001" w:rsidP="003B448C">
            <w:pPr>
              <w:spacing w:before="150" w:after="150"/>
              <w:jc w:val="center"/>
              <w:textAlignment w:val="baseline"/>
              <w:rPr>
                <w:color w:val="000000" w:themeColor="text1"/>
              </w:rPr>
            </w:pPr>
            <w:r w:rsidRPr="00DF2CAA">
              <w:rPr>
                <w:color w:val="000000" w:themeColor="text1"/>
              </w:rPr>
              <w:t>Сумарні витрати за альтернативами</w:t>
            </w:r>
          </w:p>
          <w:p w:rsidR="00C612AC" w:rsidRPr="004D4F32" w:rsidRDefault="00C612AC" w:rsidP="003B448C">
            <w:pPr>
              <w:spacing w:before="150" w:after="150"/>
              <w:jc w:val="center"/>
              <w:textAlignment w:val="baseline"/>
              <w:rPr>
                <w:color w:val="FF0000"/>
              </w:rPr>
            </w:pPr>
            <w:r w:rsidRPr="00DF2CAA">
              <w:rPr>
                <w:color w:val="000000" w:themeColor="text1"/>
              </w:rPr>
              <w:t xml:space="preserve">на сферу інтересів суб’єктів господарювання </w:t>
            </w:r>
            <w:r w:rsidR="005B6BAF" w:rsidRPr="00DF2CAA">
              <w:rPr>
                <w:color w:val="000000" w:themeColor="text1"/>
                <w:shd w:val="clear" w:color="auto" w:fill="FFFFFF"/>
              </w:rPr>
              <w:t> великого і середнього підприємництва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DF2CAA" w:rsidRDefault="004A6001" w:rsidP="003B448C">
            <w:pPr>
              <w:spacing w:before="150" w:after="150"/>
              <w:jc w:val="center"/>
              <w:textAlignment w:val="baseline"/>
            </w:pPr>
            <w:r w:rsidRPr="00DF2CAA">
              <w:t>Сума витрат,</w:t>
            </w:r>
            <w:r w:rsidR="00C94ED4" w:rsidRPr="00DF2CAA">
              <w:t xml:space="preserve"> </w:t>
            </w:r>
            <w:r w:rsidRPr="00DF2CAA">
              <w:t>грн.</w:t>
            </w:r>
          </w:p>
          <w:p w:rsidR="00F31F3A" w:rsidRPr="004D4F32" w:rsidRDefault="00F31F3A" w:rsidP="003B448C">
            <w:pPr>
              <w:spacing w:before="150" w:after="150"/>
              <w:jc w:val="center"/>
              <w:textAlignment w:val="baseline"/>
              <w:rPr>
                <w:color w:val="FF0000"/>
              </w:rPr>
            </w:pPr>
            <w:r w:rsidRPr="00DF2CAA">
              <w:t>(за 5 років)</w:t>
            </w:r>
          </w:p>
        </w:tc>
      </w:tr>
      <w:tr w:rsidR="005B73F2" w:rsidRPr="005B73F2" w:rsidTr="0057427C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A80" w:rsidRPr="005B73F2" w:rsidRDefault="00D07A80" w:rsidP="003B448C">
            <w:pPr>
              <w:spacing w:before="150" w:after="150"/>
              <w:ind w:left="178" w:right="124"/>
              <w:textAlignment w:val="baseline"/>
            </w:pPr>
            <w:r w:rsidRPr="005B73F2">
              <w:t xml:space="preserve">Альтернатива 1. </w:t>
            </w:r>
          </w:p>
          <w:p w:rsidR="00D07A80" w:rsidRDefault="00D07A80" w:rsidP="003B448C">
            <w:pPr>
              <w:ind w:left="127" w:right="83"/>
              <w:jc w:val="both"/>
              <w:rPr>
                <w:shd w:val="clear" w:color="auto" w:fill="FFFFFF"/>
              </w:rPr>
            </w:pPr>
            <w:r w:rsidRPr="005B73F2">
              <w:rPr>
                <w:shd w:val="clear" w:color="auto" w:fill="FFFFFF"/>
              </w:rPr>
              <w:t>Збереження</w:t>
            </w:r>
            <w:r w:rsidR="005B73F2">
              <w:rPr>
                <w:shd w:val="clear" w:color="auto" w:fill="FFFFFF"/>
              </w:rPr>
              <w:t xml:space="preserve"> існуючого стану</w:t>
            </w:r>
          </w:p>
          <w:p w:rsidR="005B73F2" w:rsidRDefault="005B73F2" w:rsidP="003B448C">
            <w:pPr>
              <w:ind w:left="127" w:right="83"/>
              <w:jc w:val="both"/>
              <w:rPr>
                <w:shd w:val="clear" w:color="auto" w:fill="FFFFFF"/>
              </w:rPr>
            </w:pPr>
          </w:p>
          <w:p w:rsidR="005B73F2" w:rsidRPr="005B73F2" w:rsidRDefault="005B73F2" w:rsidP="003B448C">
            <w:pPr>
              <w:ind w:left="127" w:right="83"/>
              <w:jc w:val="both"/>
            </w:pPr>
            <w:r w:rsidRPr="005B73F2">
              <w:rPr>
                <w:shd w:val="clear" w:color="auto" w:fill="FFFFFF"/>
              </w:rPr>
              <w:t xml:space="preserve">(рядок 11 таблиці “Витрати </w:t>
            </w:r>
            <w:r w:rsidRPr="005B73F2">
              <w:rPr>
                <w:b/>
                <w:shd w:val="clear" w:color="auto" w:fill="FFFFFF"/>
              </w:rPr>
              <w:t>на одного</w:t>
            </w:r>
            <w:r w:rsidRPr="005B73F2">
              <w:rPr>
                <w:shd w:val="clear" w:color="auto" w:fill="FFFFFF"/>
              </w:rPr>
              <w:t xml:space="preserve"> суб’єкта господарювання великого і середнього підприємництва, які виникають внаслідок дії регуляторного </w:t>
            </w:r>
            <w:proofErr w:type="spellStart"/>
            <w:r w:rsidRPr="005B73F2">
              <w:rPr>
                <w:shd w:val="clear" w:color="auto" w:fill="FFFFFF"/>
              </w:rPr>
              <w:t>акта</w:t>
            </w:r>
            <w:proofErr w:type="spellEnd"/>
            <w:r w:rsidRPr="005B73F2">
              <w:rPr>
                <w:shd w:val="clear" w:color="auto" w:fill="FFFFFF"/>
              </w:rPr>
              <w:t>”)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A80" w:rsidRPr="00DF2CAA" w:rsidRDefault="00DF2CAA" w:rsidP="00DF2CAA">
            <w:pPr>
              <w:pStyle w:val="af1"/>
              <w:jc w:val="center"/>
            </w:pPr>
            <w:r w:rsidRPr="00DF2CAA">
              <w:t>1 277 175,75</w:t>
            </w:r>
          </w:p>
        </w:tc>
      </w:tr>
      <w:tr w:rsidR="005B73F2" w:rsidRPr="005B73F2" w:rsidTr="0057427C"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7A80" w:rsidRPr="005B73F2" w:rsidRDefault="00D07A80" w:rsidP="003B448C">
            <w:pPr>
              <w:spacing w:before="150" w:after="150"/>
              <w:ind w:left="178" w:right="124"/>
              <w:textAlignment w:val="baseline"/>
            </w:pPr>
            <w:r w:rsidRPr="005B73F2">
              <w:t xml:space="preserve">Альтернатива 2. </w:t>
            </w:r>
          </w:p>
          <w:p w:rsidR="00D07A80" w:rsidRPr="005B73F2" w:rsidRDefault="0057427C" w:rsidP="003B448C">
            <w:pPr>
              <w:spacing w:before="150" w:after="150"/>
              <w:ind w:left="178" w:right="124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Прийняти</w:t>
            </w:r>
            <w:r w:rsidR="00D07A80" w:rsidRPr="005B73F2">
              <w:rPr>
                <w:shd w:val="clear" w:color="auto" w:fill="FFFFFF"/>
              </w:rPr>
              <w:t xml:space="preserve"> запропонований </w:t>
            </w:r>
            <w:proofErr w:type="spellStart"/>
            <w:r w:rsidR="00D07A80" w:rsidRPr="005B73F2">
              <w:rPr>
                <w:shd w:val="clear" w:color="auto" w:fill="FFFFFF"/>
              </w:rPr>
              <w:t>проєкт</w:t>
            </w:r>
            <w:proofErr w:type="spellEnd"/>
            <w:r w:rsidR="00D07A80" w:rsidRPr="005B73F2">
              <w:rPr>
                <w:shd w:val="clear" w:color="auto" w:fill="FFFFFF"/>
              </w:rPr>
              <w:t xml:space="preserve"> регуляторного </w:t>
            </w:r>
            <w:proofErr w:type="spellStart"/>
            <w:r w:rsidR="00D07A80" w:rsidRPr="005B73F2">
              <w:rPr>
                <w:shd w:val="clear" w:color="auto" w:fill="FFFFFF"/>
              </w:rPr>
              <w:t>акта</w:t>
            </w:r>
            <w:proofErr w:type="spellEnd"/>
          </w:p>
          <w:p w:rsidR="00735E8C" w:rsidRPr="005B73F2" w:rsidRDefault="00735E8C" w:rsidP="003B448C">
            <w:pPr>
              <w:spacing w:before="150" w:after="150"/>
              <w:ind w:left="178" w:right="124"/>
              <w:textAlignment w:val="baseline"/>
            </w:pPr>
            <w:r w:rsidRPr="005B73F2">
              <w:rPr>
                <w:shd w:val="clear" w:color="auto" w:fill="FFFFFF"/>
              </w:rPr>
              <w:t xml:space="preserve">(рядок 11 таблиці “Витрати </w:t>
            </w:r>
            <w:r w:rsidRPr="005B73F2">
              <w:rPr>
                <w:b/>
                <w:shd w:val="clear" w:color="auto" w:fill="FFFFFF"/>
              </w:rPr>
              <w:t>на одного</w:t>
            </w:r>
            <w:r w:rsidRPr="005B73F2">
              <w:rPr>
                <w:shd w:val="clear" w:color="auto" w:fill="FFFFFF"/>
              </w:rPr>
              <w:t xml:space="preserve"> суб’єкта господарювання великого і середнього підприємництва, які виникають внаслідок дії регуляторного </w:t>
            </w:r>
            <w:proofErr w:type="spellStart"/>
            <w:r w:rsidRPr="005B73F2">
              <w:rPr>
                <w:shd w:val="clear" w:color="auto" w:fill="FFFFFF"/>
              </w:rPr>
              <w:t>акта</w:t>
            </w:r>
            <w:proofErr w:type="spellEnd"/>
            <w:r w:rsidRPr="005B73F2">
              <w:rPr>
                <w:shd w:val="clear" w:color="auto" w:fill="FFFFFF"/>
              </w:rPr>
              <w:t>”)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A80" w:rsidRPr="00DF2CAA" w:rsidRDefault="005B6BAF" w:rsidP="003B448C">
            <w:pPr>
              <w:pStyle w:val="af1"/>
              <w:jc w:val="center"/>
            </w:pPr>
            <w:r w:rsidRPr="00DF2CAA">
              <w:t>1 277 175,75</w:t>
            </w:r>
          </w:p>
        </w:tc>
      </w:tr>
    </w:tbl>
    <w:p w:rsidR="00A30611" w:rsidRDefault="00A30611" w:rsidP="003B448C">
      <w:pPr>
        <w:ind w:firstLine="709"/>
        <w:jc w:val="both"/>
        <w:rPr>
          <w:sz w:val="28"/>
          <w:szCs w:val="28"/>
        </w:rPr>
      </w:pPr>
    </w:p>
    <w:p w:rsidR="009149E3" w:rsidRDefault="009149E3" w:rsidP="003B448C">
      <w:pPr>
        <w:ind w:firstLine="709"/>
        <w:jc w:val="both"/>
        <w:rPr>
          <w:sz w:val="28"/>
          <w:szCs w:val="28"/>
        </w:rPr>
      </w:pPr>
    </w:p>
    <w:p w:rsidR="00A30611" w:rsidRDefault="004A6001" w:rsidP="005B73F2">
      <w:pPr>
        <w:ind w:firstLine="284"/>
        <w:jc w:val="both"/>
        <w:rPr>
          <w:b/>
          <w:bCs/>
          <w:color w:val="000000"/>
          <w:sz w:val="28"/>
          <w:szCs w:val="28"/>
        </w:rPr>
      </w:pPr>
      <w:r w:rsidRPr="00F24407">
        <w:rPr>
          <w:b/>
          <w:bCs/>
          <w:sz w:val="28"/>
          <w:szCs w:val="28"/>
        </w:rPr>
        <w:t>6.</w:t>
      </w:r>
      <w:r w:rsidRPr="00F24407">
        <w:rPr>
          <w:sz w:val="28"/>
          <w:szCs w:val="28"/>
        </w:rPr>
        <w:t xml:space="preserve"> </w:t>
      </w:r>
      <w:r w:rsidRPr="00F24407">
        <w:rPr>
          <w:b/>
          <w:bCs/>
          <w:color w:val="000000"/>
          <w:sz w:val="28"/>
          <w:szCs w:val="28"/>
        </w:rPr>
        <w:t>Вибір найбільш оптимального альтернативного способу досягнення цілі</w:t>
      </w:r>
    </w:p>
    <w:p w:rsidR="005B73F2" w:rsidRPr="00F24407" w:rsidRDefault="005B73F2" w:rsidP="005B73F2">
      <w:pPr>
        <w:ind w:firstLine="284"/>
        <w:jc w:val="both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2693"/>
        <w:gridCol w:w="3402"/>
      </w:tblGrid>
      <w:tr w:rsidR="00A30611" w:rsidRPr="00F24407" w:rsidTr="005B73F2">
        <w:tc>
          <w:tcPr>
            <w:tcW w:w="3681" w:type="dxa"/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>Рейтинг результативності (досягнення цілей під час вирішення проблеми)</w:t>
            </w:r>
          </w:p>
        </w:tc>
        <w:tc>
          <w:tcPr>
            <w:tcW w:w="2693" w:type="dxa"/>
          </w:tcPr>
          <w:p w:rsidR="005B73F2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 xml:space="preserve">Бал результативності </w:t>
            </w:r>
          </w:p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>(за чотирибальною системою оцінки)</w:t>
            </w:r>
          </w:p>
        </w:tc>
        <w:tc>
          <w:tcPr>
            <w:tcW w:w="3402" w:type="dxa"/>
          </w:tcPr>
          <w:p w:rsidR="00A30611" w:rsidRPr="00F24407" w:rsidRDefault="004A6001" w:rsidP="003B448C">
            <w:pPr>
              <w:spacing w:before="150" w:after="150"/>
              <w:ind w:right="105"/>
              <w:jc w:val="center"/>
              <w:textAlignment w:val="baseline"/>
            </w:pPr>
            <w:r w:rsidRPr="00F24407">
              <w:t xml:space="preserve">Коментарі щодо присвоєння відповідного </w:t>
            </w:r>
            <w:proofErr w:type="spellStart"/>
            <w:r w:rsidRPr="00F24407">
              <w:t>бала</w:t>
            </w:r>
            <w:proofErr w:type="spellEnd"/>
          </w:p>
        </w:tc>
      </w:tr>
      <w:tr w:rsidR="00A30611" w:rsidRPr="00F24407" w:rsidTr="005B73F2">
        <w:trPr>
          <w:trHeight w:val="1510"/>
        </w:trPr>
        <w:tc>
          <w:tcPr>
            <w:tcW w:w="3681" w:type="dxa"/>
          </w:tcPr>
          <w:p w:rsidR="00A30611" w:rsidRPr="00F24407" w:rsidRDefault="004A6001" w:rsidP="003B448C">
            <w:pPr>
              <w:spacing w:before="150" w:after="150"/>
              <w:textAlignment w:val="baseline"/>
            </w:pPr>
            <w:r w:rsidRPr="00F24407">
              <w:t>Альтернатива 1</w:t>
            </w:r>
          </w:p>
          <w:p w:rsidR="00A30611" w:rsidRPr="00F24407" w:rsidRDefault="004A6001" w:rsidP="003B448C">
            <w:pPr>
              <w:spacing w:before="150" w:after="150"/>
              <w:textAlignment w:val="baseline"/>
            </w:pPr>
            <w:r w:rsidRPr="00F24407">
              <w:t>Збереження існуючого стану</w:t>
            </w:r>
          </w:p>
        </w:tc>
        <w:tc>
          <w:tcPr>
            <w:tcW w:w="2693" w:type="dxa"/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>1</w:t>
            </w:r>
          </w:p>
        </w:tc>
        <w:tc>
          <w:tcPr>
            <w:tcW w:w="3402" w:type="dxa"/>
          </w:tcPr>
          <w:p w:rsidR="00A30611" w:rsidRPr="00F24407" w:rsidRDefault="004A6001" w:rsidP="003B448C">
            <w:pPr>
              <w:spacing w:before="150" w:after="150"/>
              <w:ind w:right="105"/>
              <w:jc w:val="both"/>
              <w:textAlignment w:val="baseline"/>
            </w:pPr>
            <w:r w:rsidRPr="00F24407">
              <w:t>У разі залишення існуючої на цей час ситуації без змін, проблема продовжуватиме існувати, що не забезпечить досягнення поставлених цілей.</w:t>
            </w:r>
          </w:p>
        </w:tc>
      </w:tr>
      <w:tr w:rsidR="00A30611" w:rsidRPr="00F24407" w:rsidTr="005B73F2">
        <w:tc>
          <w:tcPr>
            <w:tcW w:w="3681" w:type="dxa"/>
          </w:tcPr>
          <w:p w:rsidR="00A30611" w:rsidRPr="00F24407" w:rsidRDefault="004A6001" w:rsidP="003B448C">
            <w:pPr>
              <w:spacing w:before="150" w:after="150"/>
              <w:textAlignment w:val="baseline"/>
            </w:pPr>
            <w:r w:rsidRPr="00F24407">
              <w:t>Альтернатива 2</w:t>
            </w:r>
          </w:p>
          <w:p w:rsidR="00A30611" w:rsidRPr="00F24407" w:rsidRDefault="0057427C" w:rsidP="003B448C">
            <w:pPr>
              <w:spacing w:before="150" w:after="150"/>
              <w:textAlignment w:val="baseline"/>
            </w:pPr>
            <w:r>
              <w:t>Прийняти</w:t>
            </w:r>
            <w:r w:rsidR="00C85F7A" w:rsidRPr="00F24407">
              <w:t xml:space="preserve"> </w:t>
            </w:r>
            <w:r w:rsidR="004A6001" w:rsidRPr="00F24407">
              <w:t xml:space="preserve">запропонований </w:t>
            </w:r>
            <w:proofErr w:type="spellStart"/>
            <w:r w:rsidR="004A6001" w:rsidRPr="00F24407">
              <w:t>проєкт</w:t>
            </w:r>
            <w:proofErr w:type="spellEnd"/>
            <w:r w:rsidR="004A6001" w:rsidRPr="00F24407">
              <w:t xml:space="preserve"> регуляторного </w:t>
            </w:r>
            <w:proofErr w:type="spellStart"/>
            <w:r w:rsidR="004A6001" w:rsidRPr="00F24407">
              <w:t>акта</w:t>
            </w:r>
            <w:proofErr w:type="spellEnd"/>
          </w:p>
        </w:tc>
        <w:tc>
          <w:tcPr>
            <w:tcW w:w="2693" w:type="dxa"/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>4</w:t>
            </w:r>
          </w:p>
        </w:tc>
        <w:tc>
          <w:tcPr>
            <w:tcW w:w="3402" w:type="dxa"/>
          </w:tcPr>
          <w:p w:rsidR="00A30611" w:rsidRPr="00F24407" w:rsidRDefault="004A6001" w:rsidP="003B448C">
            <w:pPr>
              <w:spacing w:before="150" w:after="150"/>
              <w:jc w:val="both"/>
              <w:textAlignment w:val="baseline"/>
            </w:pPr>
            <w:r w:rsidRPr="00F24407">
              <w:t>Цілі регулювання будуть досягнуті</w:t>
            </w:r>
            <w:r w:rsidR="0057427C">
              <w:t xml:space="preserve"> повністю</w:t>
            </w:r>
            <w:r w:rsidRPr="00F24407">
              <w:t>.</w:t>
            </w:r>
          </w:p>
          <w:p w:rsidR="00A30611" w:rsidRPr="00F24407" w:rsidRDefault="004A6001" w:rsidP="003B448C">
            <w:pPr>
              <w:spacing w:before="150" w:after="150"/>
              <w:jc w:val="both"/>
              <w:textAlignment w:val="baseline"/>
            </w:pPr>
            <w:r w:rsidRPr="00F24407">
              <w:t xml:space="preserve">Оптимальний варіант збалансування інтересів міської влади, громадян та суб’єктів господарювання </w:t>
            </w:r>
          </w:p>
        </w:tc>
      </w:tr>
    </w:tbl>
    <w:p w:rsidR="00A30611" w:rsidRDefault="00A30611" w:rsidP="003B448C">
      <w:pPr>
        <w:ind w:firstLine="709"/>
        <w:jc w:val="both"/>
        <w:rPr>
          <w:sz w:val="28"/>
          <w:szCs w:val="28"/>
        </w:rPr>
      </w:pPr>
    </w:p>
    <w:p w:rsidR="009149E3" w:rsidRDefault="009149E3" w:rsidP="003B448C">
      <w:pPr>
        <w:ind w:firstLine="709"/>
        <w:jc w:val="both"/>
        <w:rPr>
          <w:sz w:val="28"/>
          <w:szCs w:val="28"/>
        </w:rPr>
      </w:pPr>
    </w:p>
    <w:p w:rsidR="009149E3" w:rsidRDefault="009149E3" w:rsidP="003B448C">
      <w:pPr>
        <w:ind w:firstLine="709"/>
        <w:jc w:val="both"/>
        <w:rPr>
          <w:sz w:val="28"/>
          <w:szCs w:val="28"/>
        </w:rPr>
      </w:pPr>
    </w:p>
    <w:p w:rsidR="009149E3" w:rsidRDefault="009149E3" w:rsidP="003B448C">
      <w:pPr>
        <w:ind w:firstLine="709"/>
        <w:jc w:val="both"/>
        <w:rPr>
          <w:sz w:val="28"/>
          <w:szCs w:val="28"/>
        </w:rPr>
      </w:pPr>
    </w:p>
    <w:p w:rsidR="009149E3" w:rsidRDefault="009149E3" w:rsidP="003B448C">
      <w:pPr>
        <w:ind w:firstLine="709"/>
        <w:jc w:val="both"/>
        <w:rPr>
          <w:sz w:val="28"/>
          <w:szCs w:val="28"/>
        </w:rPr>
      </w:pPr>
    </w:p>
    <w:p w:rsidR="00A30611" w:rsidRDefault="004A6001" w:rsidP="005B73F2">
      <w:pPr>
        <w:ind w:firstLine="426"/>
        <w:jc w:val="both"/>
        <w:rPr>
          <w:b/>
          <w:bCs/>
          <w:sz w:val="28"/>
          <w:szCs w:val="28"/>
        </w:rPr>
      </w:pPr>
      <w:r w:rsidRPr="00F24407">
        <w:rPr>
          <w:b/>
          <w:bCs/>
          <w:sz w:val="28"/>
          <w:szCs w:val="28"/>
        </w:rPr>
        <w:t>6.1.Рейтинг результативності</w:t>
      </w:r>
    </w:p>
    <w:p w:rsidR="005B73F2" w:rsidRPr="00F24407" w:rsidRDefault="005B73F2" w:rsidP="003B448C">
      <w:pPr>
        <w:jc w:val="both"/>
        <w:rPr>
          <w:b/>
          <w:bCs/>
          <w:sz w:val="28"/>
          <w:szCs w:val="28"/>
        </w:rPr>
      </w:pPr>
    </w:p>
    <w:tbl>
      <w:tblPr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701"/>
        <w:gridCol w:w="1843"/>
        <w:gridCol w:w="4394"/>
      </w:tblGrid>
      <w:tr w:rsidR="00A30611" w:rsidRPr="00F24407" w:rsidTr="0057427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A30611" w:rsidP="003B448C">
            <w:pPr>
              <w:snapToGrid w:val="0"/>
              <w:spacing w:before="150" w:after="15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F2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 xml:space="preserve">Вигоди </w:t>
            </w:r>
          </w:p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>(підсумок)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>Витрати (підсумок)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>Обґрунтування відповідного місця альтернативи у рейтингу</w:t>
            </w:r>
          </w:p>
        </w:tc>
      </w:tr>
      <w:tr w:rsidR="00A30611" w:rsidRPr="00F24407" w:rsidTr="0057427C">
        <w:trPr>
          <w:trHeight w:val="53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textAlignment w:val="baseline"/>
            </w:pPr>
            <w:r w:rsidRPr="00F24407">
              <w:t>Альтернатива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  <w:rPr>
                <w:lang w:eastAsia="ru-RU"/>
              </w:rPr>
            </w:pPr>
            <w:r w:rsidRPr="00F24407">
              <w:rPr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  <w:rPr>
                <w:lang w:eastAsia="ru-RU"/>
              </w:rPr>
            </w:pPr>
            <w:r w:rsidRPr="00F24407">
              <w:rPr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4A5492" w:rsidP="003B448C">
            <w:pPr>
              <w:spacing w:before="150" w:after="150"/>
              <w:jc w:val="both"/>
              <w:textAlignment w:val="baseline"/>
            </w:pPr>
            <w:r w:rsidRPr="00F24407">
              <w:t>Неможливість вжиття певних заходів для досягнення цілей регулювання.</w:t>
            </w:r>
          </w:p>
        </w:tc>
      </w:tr>
      <w:tr w:rsidR="00A30611" w:rsidRPr="00F24407" w:rsidTr="0057427C">
        <w:trPr>
          <w:trHeight w:val="44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textAlignment w:val="baseline"/>
            </w:pPr>
            <w:r w:rsidRPr="00F24407">
              <w:t>Альтернатива 2</w:t>
            </w:r>
          </w:p>
          <w:p w:rsidR="00A30611" w:rsidRPr="00F24407" w:rsidRDefault="00A30611" w:rsidP="003B448C">
            <w:pPr>
              <w:spacing w:before="150" w:after="150"/>
              <w:textAlignment w:val="baseline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  <w:rPr>
                <w:lang w:eastAsia="ru-RU"/>
              </w:rPr>
            </w:pPr>
            <w:r w:rsidRPr="00F24407">
              <w:rPr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5492" w:rsidP="003B448C">
            <w:pPr>
              <w:spacing w:before="150" w:after="150"/>
              <w:jc w:val="center"/>
              <w:textAlignment w:val="baseline"/>
              <w:rPr>
                <w:lang w:eastAsia="ru-RU"/>
              </w:rPr>
            </w:pPr>
            <w:r w:rsidRPr="00F24407">
              <w:rPr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4A5492" w:rsidP="003B448C">
            <w:pPr>
              <w:spacing w:before="150" w:after="150"/>
              <w:jc w:val="both"/>
              <w:textAlignment w:val="baseline"/>
            </w:pPr>
            <w:r w:rsidRPr="00F24407">
              <w:t>Досягнення цілей регулювання, але з окремими витратами</w:t>
            </w:r>
          </w:p>
        </w:tc>
      </w:tr>
    </w:tbl>
    <w:p w:rsidR="00A30611" w:rsidRPr="00A92733" w:rsidRDefault="00A30611" w:rsidP="003B448C">
      <w:pPr>
        <w:ind w:firstLine="709"/>
        <w:jc w:val="both"/>
        <w:rPr>
          <w:lang w:val="ru-RU"/>
        </w:rPr>
      </w:pPr>
    </w:p>
    <w:p w:rsidR="005B73F2" w:rsidRDefault="005B73F2" w:rsidP="003B448C">
      <w:pPr>
        <w:ind w:firstLine="709"/>
        <w:jc w:val="both"/>
      </w:pPr>
    </w:p>
    <w:tbl>
      <w:tblPr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5"/>
        <w:gridCol w:w="4043"/>
        <w:gridCol w:w="2410"/>
      </w:tblGrid>
      <w:tr w:rsidR="00A30611" w:rsidRPr="00F24407" w:rsidTr="004F513B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>Рейтинг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57427C">
            <w:pPr>
              <w:spacing w:before="150" w:after="150"/>
              <w:jc w:val="center"/>
              <w:textAlignment w:val="baseline"/>
            </w:pPr>
            <w:r w:rsidRPr="00F24407"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jc w:val="center"/>
              <w:textAlignment w:val="baseline"/>
            </w:pPr>
            <w:r w:rsidRPr="00F24407">
              <w:t xml:space="preserve">Оцінка ризику зовнішніх чинників на дію запропонованого регуляторного </w:t>
            </w:r>
            <w:proofErr w:type="spellStart"/>
            <w:r w:rsidRPr="00F24407">
              <w:t>акта</w:t>
            </w:r>
            <w:proofErr w:type="spellEnd"/>
          </w:p>
        </w:tc>
      </w:tr>
      <w:tr w:rsidR="00A30611" w:rsidRPr="00F24407" w:rsidTr="004F513B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3B448C">
            <w:pPr>
              <w:spacing w:before="150" w:after="150"/>
              <w:textAlignment w:val="baseline"/>
            </w:pPr>
            <w:r w:rsidRPr="00F24407">
              <w:t>Альтернатива 1</w:t>
            </w:r>
          </w:p>
          <w:p w:rsidR="00A30611" w:rsidRPr="00F24407" w:rsidRDefault="004A6001" w:rsidP="003B448C">
            <w:pPr>
              <w:spacing w:before="150" w:after="150"/>
              <w:textAlignment w:val="baseline"/>
            </w:pPr>
            <w:r w:rsidRPr="00F24407">
              <w:t>Збереження існуючого стану</w:t>
            </w:r>
          </w:p>
          <w:p w:rsidR="00A30611" w:rsidRPr="00F24407" w:rsidRDefault="00A30611" w:rsidP="003B448C">
            <w:pPr>
              <w:spacing w:before="150" w:after="150"/>
              <w:textAlignment w:val="baseline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0611" w:rsidRPr="00F24407" w:rsidRDefault="004A6001" w:rsidP="00EC079A">
            <w:pPr>
              <w:spacing w:before="150" w:after="150"/>
              <w:jc w:val="both"/>
              <w:textAlignment w:val="baseline"/>
            </w:pPr>
            <w:r w:rsidRPr="00F24407">
              <w:t>Перший альтернативний спосіб не зможе забезпечити досягнення поставлених цілей</w:t>
            </w:r>
            <w:r w:rsidR="00EA4F69" w:rsidRPr="00F24407">
              <w:t xml:space="preserve">, тому що він не надає можливості встановлення Правил додержання тиші в громадських місцях на території </w:t>
            </w:r>
            <w:r w:rsidR="00586BD5" w:rsidRPr="00F24407">
              <w:t xml:space="preserve">Луцької міської територіальної </w:t>
            </w:r>
            <w:r w:rsidR="00EA4F69" w:rsidRPr="00F24407">
              <w:t>громади</w:t>
            </w:r>
            <w:r w:rsidR="00AC47CA" w:rsidRPr="00F24407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11" w:rsidRPr="00F24407" w:rsidRDefault="004A6001" w:rsidP="003B448C">
            <w:pPr>
              <w:ind w:left="212"/>
              <w:jc w:val="center"/>
            </w:pPr>
            <w:r w:rsidRPr="00F24407">
              <w:t>Х</w:t>
            </w:r>
          </w:p>
        </w:tc>
      </w:tr>
      <w:tr w:rsidR="009A6F86" w:rsidRPr="00F24407" w:rsidTr="004F513B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F86" w:rsidRPr="00F24407" w:rsidRDefault="009A6F86" w:rsidP="003B448C">
            <w:pPr>
              <w:spacing w:before="150" w:after="150"/>
              <w:textAlignment w:val="baseline"/>
            </w:pPr>
            <w:r w:rsidRPr="00F24407">
              <w:t>Альтернатива 2</w:t>
            </w:r>
          </w:p>
          <w:p w:rsidR="009A6F86" w:rsidRPr="00F24407" w:rsidRDefault="00EC079A" w:rsidP="003B448C">
            <w:pPr>
              <w:spacing w:before="150" w:after="150"/>
              <w:textAlignment w:val="baseline"/>
            </w:pPr>
            <w:r>
              <w:t>Прийняти</w:t>
            </w:r>
            <w:r w:rsidR="009A6F86" w:rsidRPr="00F24407">
              <w:t xml:space="preserve"> запропонований </w:t>
            </w:r>
            <w:proofErr w:type="spellStart"/>
            <w:r w:rsidR="009A6F86" w:rsidRPr="00F24407">
              <w:t>проєкт</w:t>
            </w:r>
            <w:proofErr w:type="spellEnd"/>
            <w:r w:rsidR="009A6F86" w:rsidRPr="00F24407">
              <w:t xml:space="preserve"> регуляторного </w:t>
            </w:r>
            <w:proofErr w:type="spellStart"/>
            <w:r w:rsidR="009A6F86" w:rsidRPr="00F24407">
              <w:t>акта</w:t>
            </w:r>
            <w:proofErr w:type="spellEnd"/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6F86" w:rsidRPr="00F24407" w:rsidRDefault="009A6F86" w:rsidP="00EC079A">
            <w:pPr>
              <w:spacing w:before="150" w:after="150"/>
              <w:jc w:val="both"/>
              <w:textAlignment w:val="baseline"/>
            </w:pPr>
            <w:r w:rsidRPr="00F24407">
              <w:t xml:space="preserve">Другий альтернативний спосіб є найбільш придатним для вирішення проблеми, тому що при ухваленні </w:t>
            </w:r>
            <w:proofErr w:type="spellStart"/>
            <w:r w:rsidRPr="00F24407">
              <w:t>проєкту</w:t>
            </w:r>
            <w:proofErr w:type="spellEnd"/>
            <w:r w:rsidRPr="00F24407">
              <w:t xml:space="preserve"> рішення буде досягнути визначених цілей.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F86" w:rsidRPr="00F24407" w:rsidRDefault="0057427C" w:rsidP="00EC079A">
            <w:pPr>
              <w:jc w:val="both"/>
            </w:pPr>
            <w:r>
              <w:t>Внесення змін до чинного законодавства України</w:t>
            </w:r>
          </w:p>
        </w:tc>
      </w:tr>
    </w:tbl>
    <w:p w:rsidR="00D77997" w:rsidRPr="00F24407" w:rsidRDefault="00D77997" w:rsidP="003B448C">
      <w:pPr>
        <w:jc w:val="both"/>
        <w:rPr>
          <w:b/>
          <w:bCs/>
          <w:sz w:val="28"/>
          <w:szCs w:val="28"/>
        </w:rPr>
      </w:pPr>
    </w:p>
    <w:p w:rsidR="00A30611" w:rsidRPr="00F24407" w:rsidRDefault="00DE0753" w:rsidP="003B448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4A6001" w:rsidRPr="00F24407">
        <w:rPr>
          <w:b/>
          <w:bCs/>
          <w:sz w:val="28"/>
          <w:szCs w:val="28"/>
        </w:rPr>
        <w:t>7.</w:t>
      </w:r>
      <w:r w:rsidR="00326DD2" w:rsidRPr="00F24407">
        <w:rPr>
          <w:b/>
          <w:bCs/>
          <w:sz w:val="28"/>
          <w:szCs w:val="28"/>
        </w:rPr>
        <w:t> </w:t>
      </w:r>
      <w:r w:rsidR="004A6001" w:rsidRPr="00F24407">
        <w:rPr>
          <w:b/>
          <w:bCs/>
          <w:sz w:val="28"/>
          <w:szCs w:val="28"/>
        </w:rPr>
        <w:t>Механізми та заходи, які забезпечать розв’язання визначеної проблеми</w:t>
      </w:r>
    </w:p>
    <w:p w:rsidR="00C31C01" w:rsidRPr="00F24407" w:rsidRDefault="00326DD2" w:rsidP="004F513B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F24407">
        <w:rPr>
          <w:rFonts w:ascii="Times New Roman" w:hAnsi="Times New Roman" w:cs="Times New Roman"/>
          <w:bCs/>
          <w:sz w:val="28"/>
          <w:szCs w:val="28"/>
        </w:rPr>
        <w:t>розв’язання визначеної проблеми</w:t>
      </w:r>
      <w:r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 пропонується ухвалити рішення Луцької міської ради </w:t>
      </w:r>
      <w:r w:rsidR="00C31C01" w:rsidRPr="00F24407">
        <w:rPr>
          <w:rFonts w:ascii="Times New Roman" w:hAnsi="Times New Roman" w:cs="Times New Roman"/>
          <w:sz w:val="28"/>
          <w:szCs w:val="28"/>
        </w:rPr>
        <w:t>«Про затвердження Правил додержання тиші в громадських місцях на території Луцької міської територіальної громади».</w:t>
      </w:r>
    </w:p>
    <w:p w:rsidR="00BF2B69" w:rsidRPr="00F24407" w:rsidRDefault="00326DD2" w:rsidP="004F513B">
      <w:pPr>
        <w:pStyle w:val="HTM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Зазначений </w:t>
      </w:r>
      <w:proofErr w:type="spellStart"/>
      <w:r w:rsidRPr="00F24407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 регуляторного </w:t>
      </w:r>
      <w:proofErr w:type="spellStart"/>
      <w:r w:rsidRPr="00F24407">
        <w:rPr>
          <w:rFonts w:ascii="Times New Roman" w:hAnsi="Times New Roman" w:cs="Times New Roman"/>
          <w:color w:val="000000"/>
          <w:sz w:val="28"/>
          <w:szCs w:val="28"/>
        </w:rPr>
        <w:t>акт</w:t>
      </w:r>
      <w:r w:rsidR="00AF5E62" w:rsidRPr="00F24407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 містить норми</w:t>
      </w:r>
      <w:r w:rsidR="00BF2B69"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 щодо забезпечення прав і законних інтересів громадян стосовно додержання тиші на території громади</w:t>
      </w:r>
      <w:r w:rsidRPr="00F24407">
        <w:rPr>
          <w:rFonts w:ascii="Times New Roman" w:hAnsi="Times New Roman" w:cs="Times New Roman"/>
          <w:color w:val="000000"/>
          <w:sz w:val="28"/>
          <w:szCs w:val="28"/>
        </w:rPr>
        <w:t>, якими чітко визначаються</w:t>
      </w:r>
      <w:r w:rsidR="00BF2B69" w:rsidRPr="00F2440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F2B69" w:rsidRPr="00F24407" w:rsidRDefault="00BF2B69" w:rsidP="004F513B">
      <w:pPr>
        <w:pStyle w:val="HTM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4407"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326DD2"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основні вимоги до </w:t>
      </w:r>
      <w:r w:rsidR="004D7B2D"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організації роботи </w:t>
      </w:r>
      <w:r w:rsidR="00326DD2" w:rsidRPr="00F24407">
        <w:rPr>
          <w:rFonts w:ascii="Times New Roman" w:hAnsi="Times New Roman" w:cs="Times New Roman"/>
          <w:color w:val="000000"/>
          <w:sz w:val="28"/>
          <w:szCs w:val="28"/>
        </w:rPr>
        <w:t>підприємств, установ, організацій незалежно від форм власності, фізичних осі</w:t>
      </w:r>
      <w:r w:rsidRPr="00F24407">
        <w:rPr>
          <w:rFonts w:ascii="Times New Roman" w:hAnsi="Times New Roman" w:cs="Times New Roman"/>
          <w:color w:val="000000"/>
          <w:sz w:val="28"/>
          <w:szCs w:val="28"/>
        </w:rPr>
        <w:t>б-підприємців, а також громадян;</w:t>
      </w:r>
    </w:p>
    <w:p w:rsidR="00BF2B69" w:rsidRPr="00F24407" w:rsidRDefault="00BF2B69" w:rsidP="004F513B">
      <w:pPr>
        <w:pStyle w:val="HTM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4407">
        <w:rPr>
          <w:rFonts w:ascii="Times New Roman" w:hAnsi="Times New Roman" w:cs="Times New Roman"/>
          <w:color w:val="000000"/>
          <w:sz w:val="28"/>
          <w:szCs w:val="28"/>
        </w:rPr>
        <w:t>- механізм встановлення режимів роботи об'єктів (закладів)</w:t>
      </w:r>
      <w:r w:rsidR="00445721"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 в денний та нічний час</w:t>
      </w:r>
      <w:r w:rsidRPr="00F244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F2B69" w:rsidRPr="00F24407" w:rsidRDefault="00BF2B69" w:rsidP="004F513B">
      <w:pPr>
        <w:pStyle w:val="HTM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4407">
        <w:rPr>
          <w:rFonts w:ascii="Times New Roman" w:hAnsi="Times New Roman" w:cs="Times New Roman"/>
          <w:color w:val="000000"/>
          <w:sz w:val="28"/>
          <w:szCs w:val="28"/>
        </w:rPr>
        <w:t>- заборони і обмеження при виконанн</w:t>
      </w:r>
      <w:r w:rsidR="00AF5E62" w:rsidRPr="00F24407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 робіт, щ</w:t>
      </w:r>
      <w:r w:rsidR="004D7B2D" w:rsidRPr="00F24407">
        <w:rPr>
          <w:rFonts w:ascii="Times New Roman" w:hAnsi="Times New Roman" w:cs="Times New Roman"/>
          <w:color w:val="000000"/>
          <w:sz w:val="28"/>
          <w:szCs w:val="28"/>
        </w:rPr>
        <w:t>о призводять до виникнення шуму;</w:t>
      </w:r>
    </w:p>
    <w:p w:rsidR="004D7B2D" w:rsidRPr="00F24407" w:rsidRDefault="00445721" w:rsidP="004F513B">
      <w:pPr>
        <w:pStyle w:val="HTM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4407">
        <w:rPr>
          <w:rFonts w:ascii="Times New Roman" w:hAnsi="Times New Roman" w:cs="Times New Roman"/>
          <w:color w:val="000000"/>
          <w:sz w:val="28"/>
          <w:szCs w:val="28"/>
        </w:rPr>
        <w:t>- заходи контролю щодо порушення вимог Правил додержання тиші в громадських місцях на території Луцької міської територіальної громади.</w:t>
      </w:r>
    </w:p>
    <w:p w:rsidR="00AF5E62" w:rsidRPr="00F24407" w:rsidRDefault="00AF5E62" w:rsidP="003B448C">
      <w:pPr>
        <w:pStyle w:val="HTML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0611" w:rsidRPr="00F24407" w:rsidRDefault="004A6001" w:rsidP="004F513B">
      <w:pPr>
        <w:ind w:firstLine="567"/>
        <w:jc w:val="both"/>
        <w:rPr>
          <w:sz w:val="28"/>
          <w:szCs w:val="28"/>
        </w:rPr>
      </w:pPr>
      <w:r w:rsidRPr="00F24407">
        <w:rPr>
          <w:b/>
          <w:bCs/>
          <w:sz w:val="28"/>
          <w:szCs w:val="28"/>
        </w:rPr>
        <w:t xml:space="preserve">8. </w:t>
      </w:r>
      <w:r w:rsidRPr="00F24407">
        <w:rPr>
          <w:b/>
          <w:bCs/>
          <w:color w:val="000000"/>
          <w:sz w:val="28"/>
          <w:szCs w:val="28"/>
        </w:rPr>
        <w:t xml:space="preserve">Оцінка виконання вимог регуляторного </w:t>
      </w:r>
      <w:proofErr w:type="spellStart"/>
      <w:r w:rsidRPr="00F24407">
        <w:rPr>
          <w:b/>
          <w:bCs/>
          <w:color w:val="000000"/>
          <w:sz w:val="28"/>
          <w:szCs w:val="28"/>
        </w:rPr>
        <w:t>акта</w:t>
      </w:r>
      <w:proofErr w:type="spellEnd"/>
      <w:r w:rsidRPr="00F24407">
        <w:rPr>
          <w:b/>
          <w:bCs/>
          <w:color w:val="000000"/>
          <w:sz w:val="28"/>
          <w:szCs w:val="28"/>
        </w:rPr>
        <w:t xml:space="preserve"> залежно від ресурсів, якими розпоряджаються Луцька міська рада, фізичні та юридичні особи, які повинні впроваджувати або виконувати ці вимоги</w:t>
      </w:r>
    </w:p>
    <w:p w:rsidR="00CB63E9" w:rsidRPr="00F24407" w:rsidRDefault="00897257" w:rsidP="004F513B">
      <w:pPr>
        <w:pStyle w:val="HTM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4407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3815DF" w:rsidRPr="00F24407">
        <w:rPr>
          <w:rFonts w:ascii="Times New Roman" w:hAnsi="Times New Roman" w:cs="Times New Roman"/>
          <w:color w:val="000000"/>
          <w:sz w:val="28"/>
          <w:szCs w:val="28"/>
        </w:rPr>
        <w:t>юджетні</w:t>
      </w:r>
      <w:r w:rsidR="004A6001"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 витрати на </w:t>
      </w:r>
      <w:r w:rsidRPr="00F24407">
        <w:rPr>
          <w:rFonts w:ascii="Times New Roman" w:hAnsi="Times New Roman" w:cs="Times New Roman"/>
          <w:color w:val="000000"/>
          <w:sz w:val="28"/>
          <w:szCs w:val="28"/>
        </w:rPr>
        <w:t>адміністрування регулювання</w:t>
      </w:r>
      <w:r w:rsidR="004A6001"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 для Луцької міської ради та її структурних підрозділів відсутні</w:t>
      </w:r>
      <w:r w:rsidR="005930B6" w:rsidRPr="00F2440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A6001"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320D" w:rsidRDefault="00CB63E9" w:rsidP="004F513B">
      <w:pPr>
        <w:pStyle w:val="HTM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440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A6001" w:rsidRPr="00F24407">
        <w:rPr>
          <w:rFonts w:ascii="Times New Roman" w:hAnsi="Times New Roman" w:cs="Times New Roman"/>
          <w:color w:val="000000"/>
          <w:sz w:val="28"/>
          <w:szCs w:val="28"/>
        </w:rPr>
        <w:t>умарні витрати</w:t>
      </w:r>
      <w:r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 на виконання вимог регулювання</w:t>
      </w:r>
      <w:r w:rsidR="004A6001"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80B"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для суб’єктів підприємництва </w:t>
      </w:r>
      <w:r w:rsidRPr="00F24407">
        <w:rPr>
          <w:rFonts w:ascii="Times New Roman" w:hAnsi="Times New Roman" w:cs="Times New Roman"/>
          <w:color w:val="000000"/>
          <w:sz w:val="28"/>
          <w:szCs w:val="28"/>
        </w:rPr>
        <w:t xml:space="preserve">зазначені </w:t>
      </w:r>
      <w:r w:rsidR="00A61801" w:rsidRPr="00F244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C079A">
        <w:rPr>
          <w:rFonts w:ascii="Times New Roman" w:hAnsi="Times New Roman" w:cs="Times New Roman"/>
          <w:color w:val="000000"/>
          <w:sz w:val="28"/>
          <w:szCs w:val="28"/>
        </w:rPr>
        <w:t xml:space="preserve"> додатках </w:t>
      </w:r>
      <w:r w:rsidR="00E9375E">
        <w:rPr>
          <w:rFonts w:ascii="Times New Roman" w:hAnsi="Times New Roman" w:cs="Times New Roman"/>
          <w:color w:val="000000"/>
          <w:sz w:val="28"/>
          <w:szCs w:val="28"/>
        </w:rPr>
        <w:t xml:space="preserve">1,2 </w:t>
      </w:r>
      <w:r w:rsidR="00EC079A">
        <w:rPr>
          <w:rFonts w:ascii="Times New Roman" w:hAnsi="Times New Roman" w:cs="Times New Roman"/>
          <w:color w:val="000000"/>
          <w:sz w:val="28"/>
          <w:szCs w:val="28"/>
        </w:rPr>
        <w:t>до аналізу регуляторного впливу.</w:t>
      </w:r>
      <w:r w:rsidR="00E937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63E9" w:rsidRDefault="00E9375E" w:rsidP="004F513B">
      <w:pPr>
        <w:pStyle w:val="HTM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невиконання вимог, визначених регуляторним актом, суб’єкти господарювання та громадяни несуть відповідальність згідно</w:t>
      </w:r>
      <w:r w:rsidR="00C939D4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Кодексом України про адміністративні правопорушення.</w:t>
      </w:r>
    </w:p>
    <w:p w:rsidR="00E17688" w:rsidRDefault="00E17688" w:rsidP="004F513B">
      <w:pPr>
        <w:pStyle w:val="HTM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дію регуляторного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виключений вплив зовнішніх факторів, за винятком випадків внесення змін до законодавства України.</w:t>
      </w:r>
    </w:p>
    <w:p w:rsidR="00E9375E" w:rsidRPr="00F24407" w:rsidRDefault="00E9375E" w:rsidP="004F513B">
      <w:pPr>
        <w:pStyle w:val="HTML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Перешкоди для впровадження регуляторного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виконання його вимог відсутні.</w:t>
      </w:r>
    </w:p>
    <w:p w:rsidR="00A30611" w:rsidRPr="00F24407" w:rsidRDefault="00A30611" w:rsidP="003B448C">
      <w:pPr>
        <w:ind w:firstLine="709"/>
        <w:jc w:val="both"/>
        <w:rPr>
          <w:sz w:val="28"/>
          <w:szCs w:val="28"/>
        </w:rPr>
      </w:pPr>
    </w:p>
    <w:p w:rsidR="00A30611" w:rsidRPr="00F24407" w:rsidRDefault="00E9375E" w:rsidP="003B448C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4A6001" w:rsidRPr="00F24407">
        <w:rPr>
          <w:b/>
          <w:bCs/>
          <w:sz w:val="28"/>
          <w:szCs w:val="28"/>
        </w:rPr>
        <w:t xml:space="preserve">9. </w:t>
      </w:r>
      <w:r w:rsidR="004A6001" w:rsidRPr="00F24407">
        <w:rPr>
          <w:b/>
          <w:bCs/>
          <w:color w:val="000000"/>
          <w:sz w:val="28"/>
          <w:szCs w:val="28"/>
        </w:rPr>
        <w:t xml:space="preserve">Обґрунтування запропонованого </w:t>
      </w:r>
      <w:r>
        <w:rPr>
          <w:b/>
          <w:bCs/>
          <w:color w:val="000000"/>
          <w:sz w:val="28"/>
          <w:szCs w:val="28"/>
        </w:rPr>
        <w:t>терміну</w:t>
      </w:r>
      <w:r w:rsidR="004A6001" w:rsidRPr="00F24407">
        <w:rPr>
          <w:b/>
          <w:bCs/>
          <w:color w:val="000000"/>
          <w:sz w:val="28"/>
          <w:szCs w:val="28"/>
        </w:rPr>
        <w:t xml:space="preserve"> дії регуляторного </w:t>
      </w:r>
      <w:proofErr w:type="spellStart"/>
      <w:r w:rsidR="004A6001" w:rsidRPr="00F24407">
        <w:rPr>
          <w:b/>
          <w:bCs/>
          <w:color w:val="000000"/>
          <w:sz w:val="28"/>
          <w:szCs w:val="28"/>
        </w:rPr>
        <w:t>акта</w:t>
      </w:r>
      <w:proofErr w:type="spellEnd"/>
    </w:p>
    <w:p w:rsidR="00A30611" w:rsidRPr="00F24407" w:rsidRDefault="00D32D6D" w:rsidP="00E9375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Дія регуляторного акту запроваджується постійно, на невизначений термін. При виникненні обґрунтованих підстав, до регуляторного </w:t>
      </w:r>
      <w:proofErr w:type="spellStart"/>
      <w:r>
        <w:rPr>
          <w:sz w:val="28"/>
          <w:szCs w:val="28"/>
          <w:lang w:eastAsia="ru-RU"/>
        </w:rPr>
        <w:t>акта</w:t>
      </w:r>
      <w:proofErr w:type="spellEnd"/>
      <w:r>
        <w:rPr>
          <w:sz w:val="28"/>
          <w:szCs w:val="28"/>
          <w:lang w:eastAsia="ru-RU"/>
        </w:rPr>
        <w:t xml:space="preserve"> можуть вноситись зміни та доповнення.</w:t>
      </w:r>
    </w:p>
    <w:p w:rsidR="00290B76" w:rsidRDefault="00E9375E" w:rsidP="003B448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A30611" w:rsidRPr="00ED3CB9" w:rsidRDefault="00290B76" w:rsidP="00ED3CB9">
      <w:pPr>
        <w:rPr>
          <w:b/>
          <w:color w:val="000000" w:themeColor="text1"/>
          <w:sz w:val="28"/>
          <w:szCs w:val="28"/>
        </w:rPr>
      </w:pPr>
      <w:r w:rsidRPr="00ED3CB9">
        <w:rPr>
          <w:color w:val="000000" w:themeColor="text1"/>
        </w:rPr>
        <w:t xml:space="preserve">     </w:t>
      </w:r>
      <w:r w:rsidR="00E9375E" w:rsidRPr="00ED3CB9">
        <w:rPr>
          <w:color w:val="000000" w:themeColor="text1"/>
        </w:rPr>
        <w:t xml:space="preserve"> </w:t>
      </w:r>
      <w:r w:rsidR="00E9375E" w:rsidRPr="00ED3CB9">
        <w:rPr>
          <w:b/>
          <w:color w:val="000000" w:themeColor="text1"/>
          <w:sz w:val="28"/>
          <w:szCs w:val="28"/>
        </w:rPr>
        <w:t xml:space="preserve"> </w:t>
      </w:r>
      <w:r w:rsidR="004A6001" w:rsidRPr="00ED3CB9">
        <w:rPr>
          <w:b/>
          <w:color w:val="000000" w:themeColor="text1"/>
          <w:sz w:val="28"/>
          <w:szCs w:val="28"/>
        </w:rPr>
        <w:t xml:space="preserve">10. Визначення показників результативності регуляторного </w:t>
      </w:r>
      <w:proofErr w:type="spellStart"/>
      <w:r w:rsidR="004A6001" w:rsidRPr="00ED3CB9">
        <w:rPr>
          <w:b/>
          <w:color w:val="000000" w:themeColor="text1"/>
          <w:sz w:val="28"/>
          <w:szCs w:val="28"/>
        </w:rPr>
        <w:t>акта</w:t>
      </w:r>
      <w:proofErr w:type="spellEnd"/>
    </w:p>
    <w:p w:rsidR="004C301A" w:rsidRPr="00F24407" w:rsidRDefault="004C301A" w:rsidP="003B448C">
      <w:pPr>
        <w:shd w:val="clear" w:color="auto" w:fill="FFFFFF"/>
        <w:jc w:val="both"/>
        <w:rPr>
          <w:sz w:val="28"/>
          <w:szCs w:val="28"/>
        </w:rPr>
      </w:pPr>
    </w:p>
    <w:tbl>
      <w:tblPr>
        <w:tblStyle w:val="af6"/>
        <w:tblW w:w="9918" w:type="dxa"/>
        <w:tblLayout w:type="fixed"/>
        <w:tblLook w:val="04A0" w:firstRow="1" w:lastRow="0" w:firstColumn="1" w:lastColumn="0" w:noHBand="0" w:noVBand="1"/>
      </w:tblPr>
      <w:tblGrid>
        <w:gridCol w:w="551"/>
        <w:gridCol w:w="4122"/>
        <w:gridCol w:w="1701"/>
        <w:gridCol w:w="1559"/>
        <w:gridCol w:w="1985"/>
      </w:tblGrid>
      <w:tr w:rsidR="001F2D80" w:rsidRPr="00F24407" w:rsidTr="004F513B">
        <w:tc>
          <w:tcPr>
            <w:tcW w:w="551" w:type="dxa"/>
            <w:vMerge w:val="restart"/>
          </w:tcPr>
          <w:p w:rsidR="001F2D80" w:rsidRPr="00F24407" w:rsidRDefault="001F2D80" w:rsidP="003B448C">
            <w:pPr>
              <w:jc w:val="center"/>
              <w:rPr>
                <w:sz w:val="28"/>
                <w:szCs w:val="28"/>
              </w:rPr>
            </w:pPr>
            <w:r w:rsidRPr="00F24407">
              <w:rPr>
                <w:sz w:val="28"/>
                <w:szCs w:val="28"/>
              </w:rPr>
              <w:t>№ з/п</w:t>
            </w:r>
          </w:p>
        </w:tc>
        <w:tc>
          <w:tcPr>
            <w:tcW w:w="4122" w:type="dxa"/>
            <w:vMerge w:val="restart"/>
          </w:tcPr>
          <w:p w:rsidR="001F2D80" w:rsidRPr="00F24407" w:rsidRDefault="001F2D80" w:rsidP="003B448C">
            <w:pPr>
              <w:jc w:val="center"/>
            </w:pPr>
            <w:r w:rsidRPr="00F24407">
              <w:t>Показник</w:t>
            </w:r>
          </w:p>
        </w:tc>
        <w:tc>
          <w:tcPr>
            <w:tcW w:w="5245" w:type="dxa"/>
            <w:gridSpan w:val="3"/>
          </w:tcPr>
          <w:p w:rsidR="001F2D80" w:rsidRDefault="001F2D80" w:rsidP="003B448C">
            <w:pPr>
              <w:jc w:val="center"/>
            </w:pPr>
            <w:r w:rsidRPr="00F24407">
              <w:t xml:space="preserve">Прогнозовані значення показників результативності регуляторного </w:t>
            </w:r>
            <w:proofErr w:type="spellStart"/>
            <w:r w:rsidRPr="00F24407">
              <w:t>акта</w:t>
            </w:r>
            <w:proofErr w:type="spellEnd"/>
          </w:p>
          <w:p w:rsidR="004D4F32" w:rsidRPr="00F24407" w:rsidRDefault="004D4F32" w:rsidP="003B448C">
            <w:pPr>
              <w:jc w:val="center"/>
            </w:pPr>
          </w:p>
        </w:tc>
      </w:tr>
      <w:tr w:rsidR="001F2D80" w:rsidRPr="00F24407" w:rsidTr="004F513B">
        <w:tc>
          <w:tcPr>
            <w:tcW w:w="551" w:type="dxa"/>
            <w:vMerge/>
          </w:tcPr>
          <w:p w:rsidR="001F2D80" w:rsidRPr="00F24407" w:rsidRDefault="001F2D80" w:rsidP="003B4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22" w:type="dxa"/>
            <w:vMerge/>
          </w:tcPr>
          <w:p w:rsidR="001F2D80" w:rsidRPr="00F24407" w:rsidRDefault="001F2D80" w:rsidP="003B448C">
            <w:pPr>
              <w:jc w:val="center"/>
            </w:pPr>
          </w:p>
        </w:tc>
        <w:tc>
          <w:tcPr>
            <w:tcW w:w="1701" w:type="dxa"/>
          </w:tcPr>
          <w:p w:rsidR="001F2D80" w:rsidRPr="00F24407" w:rsidRDefault="001F2D80" w:rsidP="003B448C">
            <w:pPr>
              <w:jc w:val="center"/>
            </w:pPr>
            <w:r w:rsidRPr="00F24407">
              <w:t>2022 рік</w:t>
            </w:r>
          </w:p>
        </w:tc>
        <w:tc>
          <w:tcPr>
            <w:tcW w:w="1559" w:type="dxa"/>
          </w:tcPr>
          <w:p w:rsidR="001F2D80" w:rsidRPr="00F24407" w:rsidRDefault="001F2D80" w:rsidP="003B448C">
            <w:pPr>
              <w:jc w:val="center"/>
            </w:pPr>
            <w:r w:rsidRPr="00F24407">
              <w:t>2023 рік</w:t>
            </w:r>
          </w:p>
        </w:tc>
        <w:tc>
          <w:tcPr>
            <w:tcW w:w="1985" w:type="dxa"/>
          </w:tcPr>
          <w:p w:rsidR="001F2D80" w:rsidRPr="00F24407" w:rsidRDefault="001F2D80" w:rsidP="003B448C">
            <w:pPr>
              <w:jc w:val="center"/>
            </w:pPr>
            <w:r w:rsidRPr="00F24407">
              <w:t>2024 рік</w:t>
            </w:r>
          </w:p>
        </w:tc>
      </w:tr>
      <w:tr w:rsidR="00395DA8" w:rsidRPr="00F24407" w:rsidTr="004F513B">
        <w:tc>
          <w:tcPr>
            <w:tcW w:w="551" w:type="dxa"/>
          </w:tcPr>
          <w:p w:rsidR="00395DA8" w:rsidRPr="00F24407" w:rsidRDefault="00D578C2" w:rsidP="003B448C">
            <w:pPr>
              <w:jc w:val="both"/>
              <w:rPr>
                <w:sz w:val="28"/>
                <w:szCs w:val="28"/>
              </w:rPr>
            </w:pPr>
            <w:r w:rsidRPr="00F24407">
              <w:rPr>
                <w:sz w:val="28"/>
                <w:szCs w:val="28"/>
              </w:rPr>
              <w:t>1.</w:t>
            </w:r>
          </w:p>
        </w:tc>
        <w:tc>
          <w:tcPr>
            <w:tcW w:w="4122" w:type="dxa"/>
          </w:tcPr>
          <w:p w:rsidR="00395DA8" w:rsidRPr="00F24407" w:rsidRDefault="00395DA8" w:rsidP="003B448C">
            <w:pPr>
              <w:pStyle w:val="af1"/>
            </w:pPr>
            <w:r w:rsidRPr="00F24407">
              <w:t>Кількість об’єктів (закладів), як</w:t>
            </w:r>
            <w:r w:rsidR="00D578C2" w:rsidRPr="00F24407">
              <w:t>им</w:t>
            </w:r>
            <w:r w:rsidRPr="00F24407">
              <w:t xml:space="preserve"> встановлю</w:t>
            </w:r>
            <w:r w:rsidR="00D578C2" w:rsidRPr="00F24407">
              <w:t>ється</w:t>
            </w:r>
            <w:r w:rsidRPr="00F24407">
              <w:t xml:space="preserve"> режим роботи в нічний час.</w:t>
            </w:r>
          </w:p>
          <w:p w:rsidR="00395DA8" w:rsidRPr="00F24407" w:rsidRDefault="00395DA8" w:rsidP="003B448C">
            <w:pPr>
              <w:jc w:val="both"/>
            </w:pPr>
          </w:p>
        </w:tc>
        <w:tc>
          <w:tcPr>
            <w:tcW w:w="1701" w:type="dxa"/>
          </w:tcPr>
          <w:p w:rsidR="00395DA8" w:rsidRPr="00F24407" w:rsidRDefault="00395DA8" w:rsidP="003B448C">
            <w:r w:rsidRPr="00F24407">
              <w:t>110</w:t>
            </w:r>
          </w:p>
        </w:tc>
        <w:tc>
          <w:tcPr>
            <w:tcW w:w="1559" w:type="dxa"/>
          </w:tcPr>
          <w:p w:rsidR="00395DA8" w:rsidRPr="00F24407" w:rsidRDefault="00395DA8" w:rsidP="00DF7BD4">
            <w:r w:rsidRPr="00F24407">
              <w:t>11</w:t>
            </w:r>
            <w:r w:rsidR="00DF7BD4">
              <w:t>0</w:t>
            </w:r>
          </w:p>
        </w:tc>
        <w:tc>
          <w:tcPr>
            <w:tcW w:w="1985" w:type="dxa"/>
          </w:tcPr>
          <w:p w:rsidR="00395DA8" w:rsidRPr="00F24407" w:rsidRDefault="00395DA8" w:rsidP="00DF7BD4">
            <w:r w:rsidRPr="00F24407">
              <w:t>1</w:t>
            </w:r>
            <w:r w:rsidR="00DF7BD4">
              <w:t>10</w:t>
            </w:r>
          </w:p>
        </w:tc>
      </w:tr>
      <w:tr w:rsidR="0012408C" w:rsidRPr="00F24407" w:rsidTr="004F513B">
        <w:tc>
          <w:tcPr>
            <w:tcW w:w="551" w:type="dxa"/>
          </w:tcPr>
          <w:p w:rsidR="004C301A" w:rsidRPr="00F24407" w:rsidRDefault="004C301A" w:rsidP="003B448C">
            <w:pPr>
              <w:pStyle w:val="af1"/>
              <w:rPr>
                <w:sz w:val="28"/>
                <w:szCs w:val="28"/>
              </w:rPr>
            </w:pPr>
            <w:r w:rsidRPr="00F24407">
              <w:rPr>
                <w:sz w:val="28"/>
                <w:szCs w:val="28"/>
              </w:rPr>
              <w:t>2</w:t>
            </w:r>
            <w:r w:rsidR="003021F8" w:rsidRPr="00F24407">
              <w:rPr>
                <w:sz w:val="28"/>
                <w:szCs w:val="28"/>
              </w:rPr>
              <w:t>.</w:t>
            </w:r>
          </w:p>
        </w:tc>
        <w:tc>
          <w:tcPr>
            <w:tcW w:w="4122" w:type="dxa"/>
            <w:vAlign w:val="center"/>
          </w:tcPr>
          <w:p w:rsidR="00C163AB" w:rsidRPr="00F24407" w:rsidRDefault="00C163AB" w:rsidP="003B448C">
            <w:pPr>
              <w:pStyle w:val="af1"/>
            </w:pPr>
            <w:r w:rsidRPr="00F24407">
              <w:t>Кількість об’єктів (закладів</w:t>
            </w:r>
            <w:r w:rsidR="00395DA8" w:rsidRPr="00F24407">
              <w:t>)</w:t>
            </w:r>
            <w:r w:rsidRPr="00F24407">
              <w:t>, як</w:t>
            </w:r>
            <w:r w:rsidR="00395DA8" w:rsidRPr="00F24407">
              <w:t>им</w:t>
            </w:r>
            <w:r w:rsidRPr="00F24407">
              <w:t xml:space="preserve"> встановлю</w:t>
            </w:r>
            <w:r w:rsidR="00E20376">
              <w:t>ється</w:t>
            </w:r>
            <w:r w:rsidRPr="00F24407">
              <w:t xml:space="preserve"> режим роботи в денний час.</w:t>
            </w:r>
          </w:p>
          <w:p w:rsidR="00F40BF5" w:rsidRPr="00F24407" w:rsidRDefault="00F40BF5" w:rsidP="003B448C">
            <w:pPr>
              <w:pStyle w:val="af1"/>
            </w:pPr>
          </w:p>
        </w:tc>
        <w:tc>
          <w:tcPr>
            <w:tcW w:w="1701" w:type="dxa"/>
          </w:tcPr>
          <w:p w:rsidR="002F76D0" w:rsidRPr="00F24407" w:rsidRDefault="00395DA8" w:rsidP="003B448C">
            <w:r w:rsidRPr="00F24407">
              <w:t>50</w:t>
            </w:r>
          </w:p>
        </w:tc>
        <w:tc>
          <w:tcPr>
            <w:tcW w:w="1559" w:type="dxa"/>
          </w:tcPr>
          <w:p w:rsidR="00232A19" w:rsidRPr="00F24407" w:rsidRDefault="00395DA8" w:rsidP="003B448C">
            <w:pPr>
              <w:jc w:val="both"/>
              <w:rPr>
                <w:color w:val="000000" w:themeColor="text1"/>
              </w:rPr>
            </w:pPr>
            <w:r w:rsidRPr="00F24407">
              <w:rPr>
                <w:color w:val="FFFFFF" w:themeColor="background1"/>
              </w:rPr>
              <w:t>50</w:t>
            </w:r>
            <w:r w:rsidRPr="00F24407">
              <w:rPr>
                <w:color w:val="000000" w:themeColor="text1"/>
              </w:rPr>
              <w:t>50</w:t>
            </w:r>
          </w:p>
        </w:tc>
        <w:tc>
          <w:tcPr>
            <w:tcW w:w="1985" w:type="dxa"/>
          </w:tcPr>
          <w:p w:rsidR="00C163AB" w:rsidRPr="00F24407" w:rsidRDefault="00395DA8" w:rsidP="003B448C">
            <w:pPr>
              <w:jc w:val="both"/>
            </w:pPr>
            <w:r w:rsidRPr="00F24407">
              <w:t>50</w:t>
            </w:r>
          </w:p>
        </w:tc>
      </w:tr>
      <w:tr w:rsidR="00595847" w:rsidRPr="00F24407" w:rsidTr="004F513B">
        <w:tc>
          <w:tcPr>
            <w:tcW w:w="551" w:type="dxa"/>
          </w:tcPr>
          <w:p w:rsidR="00595847" w:rsidRPr="00F24407" w:rsidRDefault="00EE275E" w:rsidP="003B448C">
            <w:pPr>
              <w:pStyle w:val="af1"/>
            </w:pPr>
            <w:r w:rsidRPr="00F24407">
              <w:t>3.</w:t>
            </w:r>
          </w:p>
        </w:tc>
        <w:tc>
          <w:tcPr>
            <w:tcW w:w="4122" w:type="dxa"/>
            <w:vAlign w:val="center"/>
          </w:tcPr>
          <w:p w:rsidR="00595847" w:rsidRDefault="00D578C2" w:rsidP="003B448C">
            <w:pPr>
              <w:pStyle w:val="af1"/>
            </w:pPr>
            <w:r w:rsidRPr="00F24407">
              <w:t>К</w:t>
            </w:r>
            <w:r w:rsidR="00A61801" w:rsidRPr="00F24407">
              <w:t xml:space="preserve">ількість </w:t>
            </w:r>
            <w:r w:rsidRPr="00F24407">
              <w:t>змін встановлених режимів роботи об’єктів (закладів)</w:t>
            </w:r>
          </w:p>
          <w:p w:rsidR="004F513B" w:rsidRPr="00F24407" w:rsidRDefault="004F513B" w:rsidP="003B448C">
            <w:pPr>
              <w:pStyle w:val="af1"/>
            </w:pPr>
          </w:p>
        </w:tc>
        <w:tc>
          <w:tcPr>
            <w:tcW w:w="1701" w:type="dxa"/>
          </w:tcPr>
          <w:p w:rsidR="00595847" w:rsidRPr="00F24407" w:rsidRDefault="00D578C2" w:rsidP="003B448C">
            <w:pPr>
              <w:pStyle w:val="af1"/>
            </w:pPr>
            <w:r w:rsidRPr="00F24407">
              <w:t>0</w:t>
            </w:r>
          </w:p>
        </w:tc>
        <w:tc>
          <w:tcPr>
            <w:tcW w:w="1559" w:type="dxa"/>
          </w:tcPr>
          <w:p w:rsidR="00595847" w:rsidRPr="00F24407" w:rsidRDefault="00D578C2" w:rsidP="003B448C">
            <w:r w:rsidRPr="00F24407">
              <w:t>0</w:t>
            </w:r>
          </w:p>
        </w:tc>
        <w:tc>
          <w:tcPr>
            <w:tcW w:w="1985" w:type="dxa"/>
          </w:tcPr>
          <w:p w:rsidR="00595847" w:rsidRPr="00F24407" w:rsidRDefault="00D578C2" w:rsidP="003B448C">
            <w:r w:rsidRPr="00F24407">
              <w:t>0</w:t>
            </w:r>
          </w:p>
        </w:tc>
      </w:tr>
      <w:tr w:rsidR="00595847" w:rsidRPr="00F24407" w:rsidTr="004F513B">
        <w:tc>
          <w:tcPr>
            <w:tcW w:w="551" w:type="dxa"/>
          </w:tcPr>
          <w:p w:rsidR="00595847" w:rsidRPr="00F24407" w:rsidRDefault="00EE275E" w:rsidP="003B448C">
            <w:pPr>
              <w:pStyle w:val="af1"/>
            </w:pPr>
            <w:r w:rsidRPr="00F24407">
              <w:t>4.</w:t>
            </w:r>
          </w:p>
        </w:tc>
        <w:tc>
          <w:tcPr>
            <w:tcW w:w="4122" w:type="dxa"/>
            <w:vAlign w:val="center"/>
          </w:tcPr>
          <w:p w:rsidR="00595847" w:rsidRDefault="00D578C2" w:rsidP="003B448C">
            <w:pPr>
              <w:pStyle w:val="af1"/>
            </w:pPr>
            <w:r w:rsidRPr="00F24407">
              <w:t>Кількість відмов у встановленні режимів роботи об’єктів (закладів)</w:t>
            </w:r>
          </w:p>
          <w:p w:rsidR="004F513B" w:rsidRPr="00F24407" w:rsidRDefault="004F513B" w:rsidP="003B448C">
            <w:pPr>
              <w:pStyle w:val="af1"/>
            </w:pPr>
          </w:p>
        </w:tc>
        <w:tc>
          <w:tcPr>
            <w:tcW w:w="1701" w:type="dxa"/>
          </w:tcPr>
          <w:p w:rsidR="00595847" w:rsidRPr="00F24407" w:rsidRDefault="00D578C2" w:rsidP="003B448C">
            <w:pPr>
              <w:pStyle w:val="af1"/>
            </w:pPr>
            <w:r w:rsidRPr="00F24407">
              <w:t>0</w:t>
            </w:r>
          </w:p>
        </w:tc>
        <w:tc>
          <w:tcPr>
            <w:tcW w:w="1559" w:type="dxa"/>
          </w:tcPr>
          <w:p w:rsidR="00595847" w:rsidRPr="00F24407" w:rsidRDefault="00D578C2" w:rsidP="003B448C">
            <w:r w:rsidRPr="00F24407">
              <w:t>0</w:t>
            </w:r>
          </w:p>
        </w:tc>
        <w:tc>
          <w:tcPr>
            <w:tcW w:w="1985" w:type="dxa"/>
          </w:tcPr>
          <w:p w:rsidR="00595847" w:rsidRPr="00F24407" w:rsidRDefault="00D578C2" w:rsidP="003B448C">
            <w:r w:rsidRPr="00F24407">
              <w:t>0</w:t>
            </w:r>
          </w:p>
        </w:tc>
      </w:tr>
      <w:tr w:rsidR="0069054D" w:rsidRPr="00F24407" w:rsidTr="004F513B">
        <w:tc>
          <w:tcPr>
            <w:tcW w:w="551" w:type="dxa"/>
          </w:tcPr>
          <w:p w:rsidR="0069054D" w:rsidRPr="00F24407" w:rsidRDefault="004D4F32" w:rsidP="003B448C">
            <w:pPr>
              <w:pStyle w:val="af1"/>
            </w:pPr>
            <w:r>
              <w:t>5</w:t>
            </w:r>
            <w:r w:rsidR="00A8499E" w:rsidRPr="00F24407">
              <w:t>.</w:t>
            </w:r>
          </w:p>
        </w:tc>
        <w:tc>
          <w:tcPr>
            <w:tcW w:w="4122" w:type="dxa"/>
          </w:tcPr>
          <w:p w:rsidR="0069054D" w:rsidRPr="00F24407" w:rsidRDefault="0069054D" w:rsidP="003B448C">
            <w:pPr>
              <w:pStyle w:val="af1"/>
            </w:pPr>
            <w:r w:rsidRPr="00F24407">
              <w:t>Кількість звернень мешка</w:t>
            </w:r>
            <w:r w:rsidR="00D578C2" w:rsidRPr="00F24407">
              <w:t xml:space="preserve">нців громади </w:t>
            </w:r>
            <w:r w:rsidR="00DF7BD4">
              <w:t xml:space="preserve">до міської ради </w:t>
            </w:r>
            <w:r w:rsidR="00D578C2" w:rsidRPr="00F24407">
              <w:t>щодо порушень тиші.</w:t>
            </w:r>
          </w:p>
        </w:tc>
        <w:tc>
          <w:tcPr>
            <w:tcW w:w="1701" w:type="dxa"/>
          </w:tcPr>
          <w:p w:rsidR="0069054D" w:rsidRPr="00F24407" w:rsidRDefault="0069054D" w:rsidP="003B448C">
            <w:pPr>
              <w:pStyle w:val="af1"/>
              <w:jc w:val="both"/>
            </w:pPr>
            <w:r w:rsidRPr="00F24407">
              <w:t>Щорічне зменшення кількості звернень громадян</w:t>
            </w:r>
          </w:p>
        </w:tc>
        <w:tc>
          <w:tcPr>
            <w:tcW w:w="1559" w:type="dxa"/>
          </w:tcPr>
          <w:p w:rsidR="0069054D" w:rsidRPr="00F24407" w:rsidRDefault="0069054D" w:rsidP="003B448C">
            <w:r w:rsidRPr="00F24407">
              <w:t>Щорічне зменшення кількості звернень громадян</w:t>
            </w:r>
          </w:p>
        </w:tc>
        <w:tc>
          <w:tcPr>
            <w:tcW w:w="1985" w:type="dxa"/>
          </w:tcPr>
          <w:p w:rsidR="0069054D" w:rsidRPr="00F24407" w:rsidRDefault="0069054D" w:rsidP="003B448C">
            <w:r w:rsidRPr="00F24407">
              <w:t>Щорічне зменшення кількості звернень громадян</w:t>
            </w:r>
          </w:p>
        </w:tc>
      </w:tr>
      <w:tr w:rsidR="00004323" w:rsidRPr="00F24407" w:rsidTr="004F513B">
        <w:tc>
          <w:tcPr>
            <w:tcW w:w="551" w:type="dxa"/>
          </w:tcPr>
          <w:p w:rsidR="00004323" w:rsidRPr="00F24407" w:rsidRDefault="004D4F32" w:rsidP="003B448C">
            <w:pPr>
              <w:pStyle w:val="af1"/>
            </w:pPr>
            <w:r>
              <w:t>6</w:t>
            </w:r>
            <w:r w:rsidR="00EE275E" w:rsidRPr="00F24407">
              <w:t>.</w:t>
            </w:r>
          </w:p>
        </w:tc>
        <w:tc>
          <w:tcPr>
            <w:tcW w:w="4122" w:type="dxa"/>
          </w:tcPr>
          <w:p w:rsidR="00004323" w:rsidRPr="00F24407" w:rsidRDefault="00004323" w:rsidP="003B448C">
            <w:pPr>
              <w:pStyle w:val="af1"/>
            </w:pPr>
            <w:r w:rsidRPr="00F24407">
              <w:t>Кількість розглянутих адміністративною комісією при виконавчому комітеті міської ради справ про адміністративні порушення (стаття 182 КУпАП).</w:t>
            </w:r>
          </w:p>
        </w:tc>
        <w:tc>
          <w:tcPr>
            <w:tcW w:w="1701" w:type="dxa"/>
          </w:tcPr>
          <w:p w:rsidR="00004323" w:rsidRPr="00F24407" w:rsidRDefault="00004323" w:rsidP="003B448C">
            <w:r w:rsidRPr="00F24407">
              <w:t>Щорічне зменшення кількості справ</w:t>
            </w:r>
          </w:p>
        </w:tc>
        <w:tc>
          <w:tcPr>
            <w:tcW w:w="1559" w:type="dxa"/>
          </w:tcPr>
          <w:p w:rsidR="00004323" w:rsidRPr="00F24407" w:rsidRDefault="00004323" w:rsidP="003B448C">
            <w:r w:rsidRPr="00F24407">
              <w:t>Щорічне зменшення кількості справ</w:t>
            </w:r>
          </w:p>
        </w:tc>
        <w:tc>
          <w:tcPr>
            <w:tcW w:w="1985" w:type="dxa"/>
          </w:tcPr>
          <w:p w:rsidR="00004323" w:rsidRPr="00F24407" w:rsidRDefault="00004323" w:rsidP="003B448C">
            <w:r w:rsidRPr="00F24407">
              <w:t>Щорічне зменшення кількості справ</w:t>
            </w:r>
          </w:p>
        </w:tc>
      </w:tr>
      <w:tr w:rsidR="00004323" w:rsidRPr="00F24407" w:rsidTr="004F513B">
        <w:tc>
          <w:tcPr>
            <w:tcW w:w="551" w:type="dxa"/>
          </w:tcPr>
          <w:p w:rsidR="00004323" w:rsidRPr="00F24407" w:rsidRDefault="004D4F32" w:rsidP="003B448C">
            <w:pPr>
              <w:pStyle w:val="af1"/>
            </w:pPr>
            <w:r>
              <w:t>7</w:t>
            </w:r>
            <w:r w:rsidR="00004323" w:rsidRPr="00F24407">
              <w:t>.</w:t>
            </w:r>
          </w:p>
        </w:tc>
        <w:tc>
          <w:tcPr>
            <w:tcW w:w="4122" w:type="dxa"/>
          </w:tcPr>
          <w:p w:rsidR="00004323" w:rsidRPr="00F24407" w:rsidRDefault="00004323" w:rsidP="003B448C">
            <w:pPr>
              <w:jc w:val="both"/>
            </w:pPr>
            <w:r w:rsidRPr="00F24407">
              <w:t xml:space="preserve">Розмір надходжень коштів до бюджету громади, пов'язаних з дією </w:t>
            </w:r>
            <w:proofErr w:type="spellStart"/>
            <w:r w:rsidRPr="00F24407">
              <w:t>акта</w:t>
            </w:r>
            <w:proofErr w:type="spellEnd"/>
            <w:r w:rsidRPr="00F24407">
              <w:t>,</w:t>
            </w:r>
            <w:r w:rsidR="00B56AA6" w:rsidRPr="00F24407">
              <w:t xml:space="preserve"> </w:t>
            </w:r>
            <w:r w:rsidRPr="00F24407">
              <w:t>тис.</w:t>
            </w:r>
            <w:r w:rsidR="00B56AA6" w:rsidRPr="00F24407">
              <w:t xml:space="preserve"> </w:t>
            </w:r>
            <w:r w:rsidRPr="00F24407">
              <w:t>грн</w:t>
            </w:r>
          </w:p>
        </w:tc>
        <w:tc>
          <w:tcPr>
            <w:tcW w:w="1701" w:type="dxa"/>
          </w:tcPr>
          <w:p w:rsidR="00004323" w:rsidRPr="00F24407" w:rsidRDefault="00004323" w:rsidP="003B448C">
            <w:r w:rsidRPr="00F24407">
              <w:t>Розмір надходжень залежить від кількості складених адміністративних протоколів</w:t>
            </w:r>
          </w:p>
        </w:tc>
        <w:tc>
          <w:tcPr>
            <w:tcW w:w="1559" w:type="dxa"/>
          </w:tcPr>
          <w:p w:rsidR="00004323" w:rsidRPr="00F24407" w:rsidRDefault="00004323" w:rsidP="003B448C">
            <w:r w:rsidRPr="00F24407">
              <w:t>Розмір надходжень залежить від кількості складених адміністративних протоколів</w:t>
            </w:r>
          </w:p>
        </w:tc>
        <w:tc>
          <w:tcPr>
            <w:tcW w:w="1985" w:type="dxa"/>
          </w:tcPr>
          <w:p w:rsidR="00004323" w:rsidRPr="00F24407" w:rsidRDefault="00004323" w:rsidP="003B448C">
            <w:r w:rsidRPr="00F24407">
              <w:t>Розмір надходжень залежить від кількості складених адміністративних протоколів</w:t>
            </w:r>
          </w:p>
        </w:tc>
      </w:tr>
    </w:tbl>
    <w:p w:rsidR="004C301A" w:rsidRPr="00F24407" w:rsidRDefault="004C301A" w:rsidP="003B448C">
      <w:pPr>
        <w:shd w:val="clear" w:color="auto" w:fill="FFFFFF"/>
        <w:jc w:val="both"/>
        <w:rPr>
          <w:sz w:val="28"/>
          <w:szCs w:val="28"/>
        </w:rPr>
      </w:pPr>
    </w:p>
    <w:p w:rsidR="00980489" w:rsidRDefault="00980489" w:rsidP="004F513B">
      <w:pPr>
        <w:ind w:firstLine="709"/>
        <w:jc w:val="both"/>
        <w:rPr>
          <w:b/>
          <w:bCs/>
          <w:sz w:val="28"/>
          <w:szCs w:val="28"/>
        </w:rPr>
      </w:pPr>
    </w:p>
    <w:p w:rsidR="00A30611" w:rsidRPr="00F24407" w:rsidRDefault="004A6001" w:rsidP="004F513B">
      <w:pPr>
        <w:ind w:firstLine="709"/>
        <w:jc w:val="both"/>
        <w:rPr>
          <w:sz w:val="28"/>
          <w:szCs w:val="28"/>
        </w:rPr>
      </w:pPr>
      <w:r w:rsidRPr="00F24407">
        <w:rPr>
          <w:b/>
          <w:bCs/>
          <w:sz w:val="28"/>
          <w:szCs w:val="28"/>
        </w:rPr>
        <w:t>11. </w:t>
      </w:r>
      <w:r w:rsidRPr="00F24407">
        <w:rPr>
          <w:b/>
          <w:bCs/>
          <w:color w:val="000000"/>
          <w:sz w:val="28"/>
          <w:szCs w:val="28"/>
        </w:rPr>
        <w:t xml:space="preserve">Визначення заходів, за допомогою яких здійснюватиметься відстеження результативності дії регуляторного </w:t>
      </w:r>
      <w:proofErr w:type="spellStart"/>
      <w:r w:rsidRPr="00F24407">
        <w:rPr>
          <w:b/>
          <w:bCs/>
          <w:color w:val="000000"/>
          <w:sz w:val="28"/>
          <w:szCs w:val="28"/>
        </w:rPr>
        <w:t>акта</w:t>
      </w:r>
      <w:proofErr w:type="spellEnd"/>
    </w:p>
    <w:p w:rsidR="00A30611" w:rsidRPr="00F24407" w:rsidRDefault="004A6001" w:rsidP="003B448C">
      <w:pPr>
        <w:shd w:val="clear" w:color="auto" w:fill="FFFFFF"/>
        <w:ind w:firstLine="709"/>
        <w:jc w:val="both"/>
        <w:rPr>
          <w:sz w:val="28"/>
          <w:szCs w:val="28"/>
        </w:rPr>
      </w:pPr>
      <w:r w:rsidRPr="00F24407">
        <w:rPr>
          <w:sz w:val="28"/>
          <w:szCs w:val="28"/>
        </w:rPr>
        <w:t xml:space="preserve">Відносно цього регуляторного </w:t>
      </w:r>
      <w:proofErr w:type="spellStart"/>
      <w:r w:rsidRPr="00F24407">
        <w:rPr>
          <w:sz w:val="28"/>
          <w:szCs w:val="28"/>
        </w:rPr>
        <w:t>акта</w:t>
      </w:r>
      <w:proofErr w:type="spellEnd"/>
      <w:r w:rsidRPr="00F24407">
        <w:rPr>
          <w:sz w:val="28"/>
          <w:szCs w:val="28"/>
        </w:rPr>
        <w:t xml:space="preserve"> послідовно буде здійснюватися базове, повторне та періодичне відстеження його результативності. </w:t>
      </w:r>
    </w:p>
    <w:p w:rsidR="00D03E81" w:rsidRPr="00F24407" w:rsidRDefault="004A6001" w:rsidP="003B448C">
      <w:pPr>
        <w:shd w:val="clear" w:color="auto" w:fill="FFFFFF"/>
        <w:tabs>
          <w:tab w:val="left" w:pos="450"/>
          <w:tab w:val="left" w:pos="510"/>
        </w:tabs>
        <w:ind w:firstLine="709"/>
        <w:jc w:val="both"/>
        <w:rPr>
          <w:sz w:val="28"/>
          <w:szCs w:val="28"/>
        </w:rPr>
      </w:pPr>
      <w:r w:rsidRPr="00F24407">
        <w:rPr>
          <w:i/>
          <w:iCs/>
          <w:sz w:val="28"/>
          <w:szCs w:val="28"/>
        </w:rPr>
        <w:t>Базове відстеження</w:t>
      </w:r>
      <w:r w:rsidRPr="00F24407">
        <w:rPr>
          <w:sz w:val="28"/>
          <w:szCs w:val="28"/>
        </w:rPr>
        <w:t xml:space="preserve"> результативності </w:t>
      </w:r>
      <w:r w:rsidR="00973EEE" w:rsidRPr="00F24407">
        <w:rPr>
          <w:sz w:val="28"/>
          <w:szCs w:val="28"/>
        </w:rPr>
        <w:t>дії ре</w:t>
      </w:r>
      <w:r w:rsidRPr="00F24407">
        <w:rPr>
          <w:sz w:val="28"/>
          <w:szCs w:val="28"/>
        </w:rPr>
        <w:t xml:space="preserve">гуляторного </w:t>
      </w:r>
      <w:proofErr w:type="spellStart"/>
      <w:r w:rsidRPr="00F24407">
        <w:rPr>
          <w:sz w:val="28"/>
          <w:szCs w:val="28"/>
        </w:rPr>
        <w:t>акта</w:t>
      </w:r>
      <w:proofErr w:type="spellEnd"/>
      <w:r w:rsidRPr="00F24407">
        <w:rPr>
          <w:sz w:val="28"/>
          <w:szCs w:val="28"/>
        </w:rPr>
        <w:t xml:space="preserve"> буде проведено </w:t>
      </w:r>
      <w:r w:rsidR="00DF7BD4">
        <w:rPr>
          <w:sz w:val="28"/>
          <w:szCs w:val="28"/>
        </w:rPr>
        <w:t xml:space="preserve">до </w:t>
      </w:r>
      <w:r w:rsidRPr="00F24407">
        <w:rPr>
          <w:sz w:val="28"/>
          <w:szCs w:val="28"/>
        </w:rPr>
        <w:t>набрання чинності ц</w:t>
      </w:r>
      <w:r w:rsidR="00A61801" w:rsidRPr="00F24407">
        <w:rPr>
          <w:sz w:val="28"/>
          <w:szCs w:val="28"/>
        </w:rPr>
        <w:t>ього</w:t>
      </w:r>
      <w:r w:rsidRPr="00F24407">
        <w:rPr>
          <w:sz w:val="28"/>
          <w:szCs w:val="28"/>
        </w:rPr>
        <w:t xml:space="preserve"> регуляторн</w:t>
      </w:r>
      <w:r w:rsidR="00A61801" w:rsidRPr="00F24407">
        <w:rPr>
          <w:sz w:val="28"/>
          <w:szCs w:val="28"/>
        </w:rPr>
        <w:t>ого</w:t>
      </w:r>
      <w:r w:rsidRPr="00F24407">
        <w:rPr>
          <w:sz w:val="28"/>
          <w:szCs w:val="28"/>
        </w:rPr>
        <w:t xml:space="preserve"> </w:t>
      </w:r>
      <w:proofErr w:type="spellStart"/>
      <w:r w:rsidRPr="00F24407">
        <w:rPr>
          <w:sz w:val="28"/>
          <w:szCs w:val="28"/>
        </w:rPr>
        <w:t>акт</w:t>
      </w:r>
      <w:r w:rsidR="00A61801" w:rsidRPr="00F24407">
        <w:rPr>
          <w:sz w:val="28"/>
          <w:szCs w:val="28"/>
        </w:rPr>
        <w:t>а</w:t>
      </w:r>
      <w:proofErr w:type="spellEnd"/>
      <w:r w:rsidR="00DF7BD4">
        <w:rPr>
          <w:sz w:val="28"/>
          <w:szCs w:val="28"/>
        </w:rPr>
        <w:t>.</w:t>
      </w:r>
    </w:p>
    <w:p w:rsidR="00D03E81" w:rsidRPr="00F24407" w:rsidRDefault="00D03E81" w:rsidP="003B448C">
      <w:pPr>
        <w:shd w:val="clear" w:color="auto" w:fill="FFFFFF"/>
        <w:tabs>
          <w:tab w:val="left" w:pos="450"/>
          <w:tab w:val="left" w:pos="510"/>
        </w:tabs>
        <w:ind w:firstLine="709"/>
        <w:jc w:val="both"/>
        <w:rPr>
          <w:sz w:val="28"/>
          <w:szCs w:val="28"/>
        </w:rPr>
      </w:pPr>
      <w:r w:rsidRPr="004D4F32">
        <w:rPr>
          <w:i/>
          <w:sz w:val="28"/>
          <w:szCs w:val="28"/>
        </w:rPr>
        <w:t>П</w:t>
      </w:r>
      <w:r w:rsidR="004A6001" w:rsidRPr="00F24407">
        <w:rPr>
          <w:i/>
          <w:iCs/>
          <w:sz w:val="28"/>
          <w:szCs w:val="28"/>
        </w:rPr>
        <w:t>овторне відстеження</w:t>
      </w:r>
      <w:r w:rsidR="004A6001" w:rsidRPr="00F24407">
        <w:rPr>
          <w:sz w:val="28"/>
          <w:szCs w:val="28"/>
        </w:rPr>
        <w:t xml:space="preserve"> результативності </w:t>
      </w:r>
      <w:r w:rsidR="00A61801" w:rsidRPr="00F24407">
        <w:rPr>
          <w:sz w:val="28"/>
          <w:szCs w:val="28"/>
        </w:rPr>
        <w:t xml:space="preserve">дії </w:t>
      </w:r>
      <w:r w:rsidR="004A6001" w:rsidRPr="00F24407">
        <w:rPr>
          <w:sz w:val="28"/>
          <w:szCs w:val="28"/>
        </w:rPr>
        <w:t xml:space="preserve">регуляторного </w:t>
      </w:r>
      <w:proofErr w:type="spellStart"/>
      <w:r w:rsidR="004A6001" w:rsidRPr="00F24407">
        <w:rPr>
          <w:sz w:val="28"/>
          <w:szCs w:val="28"/>
        </w:rPr>
        <w:t>акта</w:t>
      </w:r>
      <w:proofErr w:type="spellEnd"/>
      <w:r w:rsidR="004A6001" w:rsidRPr="00F24407">
        <w:rPr>
          <w:sz w:val="28"/>
          <w:szCs w:val="28"/>
        </w:rPr>
        <w:t xml:space="preserve"> буде здійснено через 1 рік з дня набрання чинності цього регуляторного </w:t>
      </w:r>
      <w:proofErr w:type="spellStart"/>
      <w:r w:rsidR="004A6001" w:rsidRPr="00F24407">
        <w:rPr>
          <w:sz w:val="28"/>
          <w:szCs w:val="28"/>
        </w:rPr>
        <w:t>акта</w:t>
      </w:r>
      <w:proofErr w:type="spellEnd"/>
      <w:r w:rsidR="004A6001" w:rsidRPr="00F24407">
        <w:rPr>
          <w:sz w:val="28"/>
          <w:szCs w:val="28"/>
        </w:rPr>
        <w:t>.</w:t>
      </w:r>
    </w:p>
    <w:p w:rsidR="00D03E81" w:rsidRPr="00F24407" w:rsidRDefault="004A6001" w:rsidP="003B448C">
      <w:pPr>
        <w:shd w:val="clear" w:color="auto" w:fill="FFFFFF"/>
        <w:tabs>
          <w:tab w:val="left" w:pos="450"/>
          <w:tab w:val="left" w:pos="510"/>
        </w:tabs>
        <w:ind w:firstLine="709"/>
        <w:jc w:val="both"/>
        <w:rPr>
          <w:sz w:val="28"/>
          <w:szCs w:val="28"/>
        </w:rPr>
      </w:pPr>
      <w:r w:rsidRPr="00F24407">
        <w:rPr>
          <w:i/>
          <w:iCs/>
          <w:sz w:val="28"/>
          <w:szCs w:val="28"/>
        </w:rPr>
        <w:t>Періодичні відстеження</w:t>
      </w:r>
      <w:r w:rsidRPr="00F24407">
        <w:rPr>
          <w:sz w:val="28"/>
          <w:szCs w:val="28"/>
        </w:rPr>
        <w:t xml:space="preserve"> будуть проводитись раз на кожні три роки з дня закінчення заходів з повторного відстеження.</w:t>
      </w:r>
    </w:p>
    <w:p w:rsidR="0058071C" w:rsidRPr="00F24407" w:rsidRDefault="004A6001" w:rsidP="003B448C">
      <w:pPr>
        <w:shd w:val="clear" w:color="auto" w:fill="FFFFFF"/>
        <w:tabs>
          <w:tab w:val="left" w:pos="450"/>
          <w:tab w:val="left" w:pos="510"/>
        </w:tabs>
        <w:ind w:firstLine="709"/>
        <w:jc w:val="both"/>
        <w:rPr>
          <w:color w:val="000000" w:themeColor="text1"/>
          <w:sz w:val="28"/>
          <w:szCs w:val="28"/>
        </w:rPr>
      </w:pPr>
      <w:r w:rsidRPr="00F24407">
        <w:rPr>
          <w:sz w:val="28"/>
          <w:szCs w:val="28"/>
        </w:rPr>
        <w:t xml:space="preserve">Відповідні відстеження будуть проводитись </w:t>
      </w:r>
      <w:r w:rsidR="00D03E81" w:rsidRPr="00F24407">
        <w:rPr>
          <w:sz w:val="28"/>
          <w:szCs w:val="28"/>
        </w:rPr>
        <w:t>департаментом економічної політики Луцької міської ради при взаємодії з іншими виконавчими органами</w:t>
      </w:r>
      <w:r w:rsidR="00A61801" w:rsidRPr="00F24407">
        <w:rPr>
          <w:sz w:val="28"/>
          <w:szCs w:val="28"/>
        </w:rPr>
        <w:t xml:space="preserve"> міської ради</w:t>
      </w:r>
      <w:r w:rsidR="00D03E81" w:rsidRPr="00F24407">
        <w:rPr>
          <w:sz w:val="28"/>
          <w:szCs w:val="28"/>
        </w:rPr>
        <w:t xml:space="preserve"> та територіальними державними виконавчими органами</w:t>
      </w:r>
      <w:r w:rsidRPr="00F24407">
        <w:rPr>
          <w:color w:val="C9211E"/>
          <w:sz w:val="28"/>
          <w:szCs w:val="28"/>
        </w:rPr>
        <w:t xml:space="preserve"> </w:t>
      </w:r>
      <w:r w:rsidRPr="00F24407">
        <w:rPr>
          <w:color w:val="000000" w:themeColor="text1"/>
          <w:sz w:val="28"/>
          <w:szCs w:val="28"/>
        </w:rPr>
        <w:t xml:space="preserve">шляхом аналізу </w:t>
      </w:r>
      <w:r w:rsidR="00CE3629" w:rsidRPr="00F24407">
        <w:rPr>
          <w:color w:val="000000" w:themeColor="text1"/>
          <w:sz w:val="28"/>
          <w:szCs w:val="28"/>
        </w:rPr>
        <w:t xml:space="preserve">наявної інформації та </w:t>
      </w:r>
      <w:r w:rsidRPr="00F24407">
        <w:rPr>
          <w:color w:val="000000" w:themeColor="text1"/>
          <w:sz w:val="28"/>
          <w:szCs w:val="28"/>
        </w:rPr>
        <w:t>статистичних даних</w:t>
      </w:r>
      <w:r w:rsidR="00D03E81" w:rsidRPr="00F24407">
        <w:rPr>
          <w:color w:val="000000" w:themeColor="text1"/>
          <w:sz w:val="28"/>
          <w:szCs w:val="28"/>
        </w:rPr>
        <w:t>.</w:t>
      </w:r>
    </w:p>
    <w:p w:rsidR="0058071C" w:rsidRPr="00F24407" w:rsidRDefault="0058071C" w:rsidP="003B448C">
      <w:pPr>
        <w:shd w:val="clear" w:color="auto" w:fill="FFFFFF"/>
        <w:tabs>
          <w:tab w:val="left" w:pos="450"/>
          <w:tab w:val="left" w:pos="510"/>
        </w:tabs>
        <w:ind w:firstLine="709"/>
        <w:jc w:val="both"/>
        <w:rPr>
          <w:color w:val="000000"/>
          <w:sz w:val="28"/>
          <w:szCs w:val="28"/>
        </w:rPr>
      </w:pPr>
      <w:r w:rsidRPr="00F24407">
        <w:rPr>
          <w:color w:val="000000"/>
          <w:sz w:val="28"/>
          <w:szCs w:val="28"/>
        </w:rPr>
        <w:t xml:space="preserve">У разі виявлення проблемних питань, вони будуть урегульовані шляхом </w:t>
      </w:r>
      <w:r w:rsidR="00A61801" w:rsidRPr="00F24407">
        <w:rPr>
          <w:color w:val="000000"/>
          <w:sz w:val="28"/>
          <w:szCs w:val="28"/>
        </w:rPr>
        <w:t>в</w:t>
      </w:r>
      <w:r w:rsidRPr="00F24407">
        <w:rPr>
          <w:color w:val="000000"/>
          <w:sz w:val="28"/>
          <w:szCs w:val="28"/>
        </w:rPr>
        <w:t xml:space="preserve">несення відповідних змін до регуляторного </w:t>
      </w:r>
      <w:proofErr w:type="spellStart"/>
      <w:r w:rsidRPr="00F24407">
        <w:rPr>
          <w:color w:val="000000"/>
          <w:sz w:val="28"/>
          <w:szCs w:val="28"/>
        </w:rPr>
        <w:t>акта</w:t>
      </w:r>
      <w:proofErr w:type="spellEnd"/>
      <w:r w:rsidRPr="00F24407">
        <w:rPr>
          <w:color w:val="000000"/>
          <w:sz w:val="28"/>
          <w:szCs w:val="28"/>
        </w:rPr>
        <w:t xml:space="preserve"> відповідно до чинного законодавства України.</w:t>
      </w:r>
    </w:p>
    <w:p w:rsidR="00D77997" w:rsidRPr="00F24407" w:rsidRDefault="00D77997" w:rsidP="003B448C">
      <w:pPr>
        <w:shd w:val="clear" w:color="auto" w:fill="FFFFFF"/>
        <w:tabs>
          <w:tab w:val="left" w:pos="450"/>
          <w:tab w:val="left" w:pos="510"/>
        </w:tabs>
        <w:ind w:firstLine="709"/>
        <w:jc w:val="both"/>
        <w:rPr>
          <w:color w:val="000000"/>
          <w:sz w:val="28"/>
          <w:szCs w:val="28"/>
        </w:rPr>
      </w:pPr>
    </w:p>
    <w:p w:rsidR="00952304" w:rsidRPr="00F24407" w:rsidRDefault="00952304" w:rsidP="003B448C">
      <w:pPr>
        <w:shd w:val="clear" w:color="auto" w:fill="FFFFFF"/>
        <w:tabs>
          <w:tab w:val="left" w:pos="450"/>
          <w:tab w:val="left" w:pos="510"/>
        </w:tabs>
        <w:ind w:firstLine="709"/>
        <w:jc w:val="both"/>
        <w:rPr>
          <w:color w:val="000000"/>
          <w:sz w:val="28"/>
          <w:szCs w:val="28"/>
        </w:rPr>
      </w:pPr>
    </w:p>
    <w:p w:rsidR="00A30611" w:rsidRPr="00F24407" w:rsidRDefault="004A6001" w:rsidP="003B448C">
      <w:pPr>
        <w:shd w:val="clear" w:color="auto" w:fill="FFFFFF"/>
        <w:tabs>
          <w:tab w:val="left" w:pos="6954"/>
        </w:tabs>
        <w:jc w:val="both"/>
        <w:rPr>
          <w:sz w:val="28"/>
          <w:szCs w:val="28"/>
        </w:rPr>
      </w:pPr>
      <w:r w:rsidRPr="00F24407">
        <w:rPr>
          <w:sz w:val="28"/>
          <w:szCs w:val="28"/>
        </w:rPr>
        <w:t xml:space="preserve">Заступник міського голови                                         </w:t>
      </w:r>
      <w:r w:rsidR="004D4F32">
        <w:rPr>
          <w:sz w:val="28"/>
          <w:szCs w:val="28"/>
        </w:rPr>
        <w:t xml:space="preserve">         </w:t>
      </w:r>
      <w:r w:rsidRPr="00F24407">
        <w:rPr>
          <w:sz w:val="28"/>
          <w:szCs w:val="28"/>
        </w:rPr>
        <w:t xml:space="preserve">        </w:t>
      </w:r>
      <w:r w:rsidR="004D4F32">
        <w:rPr>
          <w:sz w:val="28"/>
          <w:szCs w:val="28"/>
        </w:rPr>
        <w:t xml:space="preserve">   </w:t>
      </w:r>
      <w:r w:rsidRPr="00F24407">
        <w:rPr>
          <w:sz w:val="28"/>
          <w:szCs w:val="28"/>
        </w:rPr>
        <w:t xml:space="preserve">   Ірина ЧЕБЕЛЮК</w:t>
      </w:r>
    </w:p>
    <w:p w:rsidR="00EA7593" w:rsidRPr="00F24407" w:rsidRDefault="00EA7593" w:rsidP="003B448C">
      <w:pPr>
        <w:rPr>
          <w:sz w:val="28"/>
          <w:szCs w:val="28"/>
        </w:rPr>
      </w:pPr>
    </w:p>
    <w:p w:rsidR="00A30611" w:rsidRPr="00F24407" w:rsidRDefault="004A6001" w:rsidP="003B448C">
      <w:pPr>
        <w:rPr>
          <w:sz w:val="28"/>
          <w:szCs w:val="28"/>
        </w:rPr>
      </w:pPr>
      <w:r w:rsidRPr="00F24407">
        <w:rPr>
          <w:sz w:val="28"/>
          <w:szCs w:val="28"/>
        </w:rPr>
        <w:t>Директор департаменту</w:t>
      </w:r>
    </w:p>
    <w:p w:rsidR="00317B36" w:rsidRPr="00F24407" w:rsidRDefault="004A6001" w:rsidP="003B448C">
      <w:pPr>
        <w:rPr>
          <w:sz w:val="28"/>
          <w:szCs w:val="28"/>
        </w:rPr>
      </w:pPr>
      <w:r w:rsidRPr="00F24407">
        <w:rPr>
          <w:sz w:val="28"/>
          <w:szCs w:val="28"/>
        </w:rPr>
        <w:t xml:space="preserve">економічної політики                                                             </w:t>
      </w:r>
      <w:r w:rsidR="004D4F32">
        <w:rPr>
          <w:sz w:val="28"/>
          <w:szCs w:val="28"/>
        </w:rPr>
        <w:t xml:space="preserve">          </w:t>
      </w:r>
      <w:r w:rsidRPr="00F24407">
        <w:rPr>
          <w:sz w:val="28"/>
          <w:szCs w:val="28"/>
        </w:rPr>
        <w:t xml:space="preserve"> </w:t>
      </w:r>
      <w:r w:rsidR="004D4F32">
        <w:rPr>
          <w:sz w:val="28"/>
          <w:szCs w:val="28"/>
        </w:rPr>
        <w:t xml:space="preserve">   </w:t>
      </w:r>
      <w:r w:rsidRPr="00F24407">
        <w:rPr>
          <w:sz w:val="28"/>
          <w:szCs w:val="28"/>
        </w:rPr>
        <w:t xml:space="preserve">   Борис СМАЛЬ</w:t>
      </w:r>
    </w:p>
    <w:sectPr w:rsidR="00317B36" w:rsidRPr="00F24407" w:rsidSect="00F24407">
      <w:headerReference w:type="default" r:id="rId9"/>
      <w:headerReference w:type="first" r:id="rId10"/>
      <w:pgSz w:w="11906" w:h="16838"/>
      <w:pgMar w:top="692" w:right="566" w:bottom="1418" w:left="1418" w:header="284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BA9" w:rsidRDefault="005F4BA9">
      <w:r>
        <w:separator/>
      </w:r>
    </w:p>
  </w:endnote>
  <w:endnote w:type="continuationSeparator" w:id="0">
    <w:p w:rsidR="005F4BA9" w:rsidRDefault="005F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BA9" w:rsidRDefault="005F4BA9">
      <w:r>
        <w:separator/>
      </w:r>
    </w:p>
  </w:footnote>
  <w:footnote w:type="continuationSeparator" w:id="0">
    <w:p w:rsidR="005F4BA9" w:rsidRDefault="005F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2F" w:rsidRDefault="00E5682F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7C3334">
      <w:rPr>
        <w:noProof/>
      </w:rPr>
      <w:t>9</w:t>
    </w:r>
    <w:r>
      <w:fldChar w:fldCharType="end"/>
    </w:r>
  </w:p>
  <w:p w:rsidR="00E5682F" w:rsidRDefault="00E5682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2F" w:rsidRDefault="00E568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CED"/>
    <w:multiLevelType w:val="hybridMultilevel"/>
    <w:tmpl w:val="D1D6A8B8"/>
    <w:lvl w:ilvl="0" w:tplc="E81E465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71E4BCC"/>
    <w:multiLevelType w:val="hybridMultilevel"/>
    <w:tmpl w:val="976A5064"/>
    <w:lvl w:ilvl="0" w:tplc="ED128BB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6" w:hanging="360"/>
      </w:pPr>
    </w:lvl>
    <w:lvl w:ilvl="2" w:tplc="0422001B" w:tentative="1">
      <w:start w:val="1"/>
      <w:numFmt w:val="lowerRoman"/>
      <w:lvlText w:val="%3."/>
      <w:lvlJc w:val="right"/>
      <w:pPr>
        <w:ind w:left="2496" w:hanging="180"/>
      </w:pPr>
    </w:lvl>
    <w:lvl w:ilvl="3" w:tplc="0422000F" w:tentative="1">
      <w:start w:val="1"/>
      <w:numFmt w:val="decimal"/>
      <w:lvlText w:val="%4."/>
      <w:lvlJc w:val="left"/>
      <w:pPr>
        <w:ind w:left="3216" w:hanging="360"/>
      </w:pPr>
    </w:lvl>
    <w:lvl w:ilvl="4" w:tplc="04220019" w:tentative="1">
      <w:start w:val="1"/>
      <w:numFmt w:val="lowerLetter"/>
      <w:lvlText w:val="%5."/>
      <w:lvlJc w:val="left"/>
      <w:pPr>
        <w:ind w:left="3936" w:hanging="360"/>
      </w:pPr>
    </w:lvl>
    <w:lvl w:ilvl="5" w:tplc="0422001B" w:tentative="1">
      <w:start w:val="1"/>
      <w:numFmt w:val="lowerRoman"/>
      <w:lvlText w:val="%6."/>
      <w:lvlJc w:val="right"/>
      <w:pPr>
        <w:ind w:left="4656" w:hanging="180"/>
      </w:pPr>
    </w:lvl>
    <w:lvl w:ilvl="6" w:tplc="0422000F" w:tentative="1">
      <w:start w:val="1"/>
      <w:numFmt w:val="decimal"/>
      <w:lvlText w:val="%7."/>
      <w:lvlJc w:val="left"/>
      <w:pPr>
        <w:ind w:left="5376" w:hanging="360"/>
      </w:pPr>
    </w:lvl>
    <w:lvl w:ilvl="7" w:tplc="04220019" w:tentative="1">
      <w:start w:val="1"/>
      <w:numFmt w:val="lowerLetter"/>
      <w:lvlText w:val="%8."/>
      <w:lvlJc w:val="left"/>
      <w:pPr>
        <w:ind w:left="6096" w:hanging="360"/>
      </w:pPr>
    </w:lvl>
    <w:lvl w:ilvl="8" w:tplc="042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17216FE1"/>
    <w:multiLevelType w:val="multilevel"/>
    <w:tmpl w:val="9E580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91B4C89"/>
    <w:multiLevelType w:val="multilevel"/>
    <w:tmpl w:val="DC204AC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F166D3B"/>
    <w:multiLevelType w:val="hybridMultilevel"/>
    <w:tmpl w:val="82FEEEAC"/>
    <w:lvl w:ilvl="0" w:tplc="222EC6B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6946744"/>
    <w:multiLevelType w:val="multilevel"/>
    <w:tmpl w:val="F5544A7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1B0152F"/>
    <w:multiLevelType w:val="multilevel"/>
    <w:tmpl w:val="BA5CF972"/>
    <w:lvl w:ilvl="0">
      <w:numFmt w:val="bullet"/>
      <w:lvlText w:val="-"/>
      <w:lvlJc w:val="left"/>
      <w:pPr>
        <w:tabs>
          <w:tab w:val="num" w:pos="0"/>
        </w:tabs>
        <w:ind w:left="779" w:hanging="360"/>
      </w:pPr>
      <w:rPr>
        <w:rFonts w:ascii="Times New Roman" w:hAnsi="Times New Roman" w:cs="Times New Roman" w:hint="default"/>
        <w:color w:val="333333"/>
        <w:sz w:val="28"/>
        <w:szCs w:val="28"/>
        <w:shd w:val="clear" w:color="auto" w:fill="FFFFFF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F46B54"/>
    <w:multiLevelType w:val="hybridMultilevel"/>
    <w:tmpl w:val="8154EDEE"/>
    <w:lvl w:ilvl="0" w:tplc="45F64D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D3C28"/>
    <w:multiLevelType w:val="multilevel"/>
    <w:tmpl w:val="113EF1C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6B3A648A"/>
    <w:multiLevelType w:val="hybridMultilevel"/>
    <w:tmpl w:val="5D944C3A"/>
    <w:lvl w:ilvl="0" w:tplc="1EAAC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11"/>
    <w:rsid w:val="00004323"/>
    <w:rsid w:val="00015126"/>
    <w:rsid w:val="000237D7"/>
    <w:rsid w:val="00037791"/>
    <w:rsid w:val="00051FDE"/>
    <w:rsid w:val="000551C9"/>
    <w:rsid w:val="00072E81"/>
    <w:rsid w:val="000930E5"/>
    <w:rsid w:val="00094C04"/>
    <w:rsid w:val="00097AE5"/>
    <w:rsid w:val="000A34D2"/>
    <w:rsid w:val="000A43CB"/>
    <w:rsid w:val="000D2A02"/>
    <w:rsid w:val="000E07DA"/>
    <w:rsid w:val="00111DEF"/>
    <w:rsid w:val="0012408C"/>
    <w:rsid w:val="001260A6"/>
    <w:rsid w:val="00150503"/>
    <w:rsid w:val="00154CC2"/>
    <w:rsid w:val="00176340"/>
    <w:rsid w:val="00185CB0"/>
    <w:rsid w:val="00187EB6"/>
    <w:rsid w:val="00191108"/>
    <w:rsid w:val="001B509E"/>
    <w:rsid w:val="001C6DF5"/>
    <w:rsid w:val="001E2C35"/>
    <w:rsid w:val="001F2D80"/>
    <w:rsid w:val="00216FF4"/>
    <w:rsid w:val="00230141"/>
    <w:rsid w:val="002323C5"/>
    <w:rsid w:val="00232A19"/>
    <w:rsid w:val="002353AC"/>
    <w:rsid w:val="00250D24"/>
    <w:rsid w:val="002579DE"/>
    <w:rsid w:val="00273DB5"/>
    <w:rsid w:val="00290A58"/>
    <w:rsid w:val="00290B76"/>
    <w:rsid w:val="002A02D3"/>
    <w:rsid w:val="002C399B"/>
    <w:rsid w:val="002E109C"/>
    <w:rsid w:val="002E576A"/>
    <w:rsid w:val="002F4E80"/>
    <w:rsid w:val="002F76D0"/>
    <w:rsid w:val="003021F8"/>
    <w:rsid w:val="003024B7"/>
    <w:rsid w:val="00306FF1"/>
    <w:rsid w:val="00317B36"/>
    <w:rsid w:val="00326DD2"/>
    <w:rsid w:val="003331C1"/>
    <w:rsid w:val="00340867"/>
    <w:rsid w:val="0035012F"/>
    <w:rsid w:val="00373AF4"/>
    <w:rsid w:val="00377A6F"/>
    <w:rsid w:val="003815DF"/>
    <w:rsid w:val="00391432"/>
    <w:rsid w:val="00395DA8"/>
    <w:rsid w:val="003A33F2"/>
    <w:rsid w:val="003B21FA"/>
    <w:rsid w:val="003B448C"/>
    <w:rsid w:val="003D2EDD"/>
    <w:rsid w:val="003D42A9"/>
    <w:rsid w:val="003E1F71"/>
    <w:rsid w:val="003E5D2C"/>
    <w:rsid w:val="004077B9"/>
    <w:rsid w:val="0041622D"/>
    <w:rsid w:val="00421B06"/>
    <w:rsid w:val="00445721"/>
    <w:rsid w:val="00474D04"/>
    <w:rsid w:val="00483D57"/>
    <w:rsid w:val="0049323F"/>
    <w:rsid w:val="004A5492"/>
    <w:rsid w:val="004A6001"/>
    <w:rsid w:val="004B0BD5"/>
    <w:rsid w:val="004C301A"/>
    <w:rsid w:val="004C3F17"/>
    <w:rsid w:val="004D4F32"/>
    <w:rsid w:val="004D7B2D"/>
    <w:rsid w:val="004F513B"/>
    <w:rsid w:val="00503D73"/>
    <w:rsid w:val="00527493"/>
    <w:rsid w:val="005359D8"/>
    <w:rsid w:val="005416A4"/>
    <w:rsid w:val="00543D3A"/>
    <w:rsid w:val="00546B93"/>
    <w:rsid w:val="00547D1C"/>
    <w:rsid w:val="005654B3"/>
    <w:rsid w:val="00572815"/>
    <w:rsid w:val="0057427C"/>
    <w:rsid w:val="00576300"/>
    <w:rsid w:val="0058071C"/>
    <w:rsid w:val="00582D8D"/>
    <w:rsid w:val="00586BD5"/>
    <w:rsid w:val="005930B6"/>
    <w:rsid w:val="00595847"/>
    <w:rsid w:val="005B2A24"/>
    <w:rsid w:val="005B2DF5"/>
    <w:rsid w:val="005B60CA"/>
    <w:rsid w:val="005B6BAF"/>
    <w:rsid w:val="005B73F2"/>
    <w:rsid w:val="005C2144"/>
    <w:rsid w:val="005D4BDE"/>
    <w:rsid w:val="005F4BA9"/>
    <w:rsid w:val="005F4F1F"/>
    <w:rsid w:val="00653274"/>
    <w:rsid w:val="00682338"/>
    <w:rsid w:val="0069054D"/>
    <w:rsid w:val="006B30F0"/>
    <w:rsid w:val="006B394C"/>
    <w:rsid w:val="006C13E5"/>
    <w:rsid w:val="006F7691"/>
    <w:rsid w:val="00705006"/>
    <w:rsid w:val="00713444"/>
    <w:rsid w:val="00716B2A"/>
    <w:rsid w:val="00730FD6"/>
    <w:rsid w:val="00735E8C"/>
    <w:rsid w:val="00740A0F"/>
    <w:rsid w:val="00755520"/>
    <w:rsid w:val="007664FF"/>
    <w:rsid w:val="00772198"/>
    <w:rsid w:val="00780C60"/>
    <w:rsid w:val="00783F80"/>
    <w:rsid w:val="00784430"/>
    <w:rsid w:val="007A04EB"/>
    <w:rsid w:val="007C1E3E"/>
    <w:rsid w:val="007C3334"/>
    <w:rsid w:val="007F5D57"/>
    <w:rsid w:val="007F78A7"/>
    <w:rsid w:val="00805D4C"/>
    <w:rsid w:val="00824C33"/>
    <w:rsid w:val="0082780B"/>
    <w:rsid w:val="00837055"/>
    <w:rsid w:val="00851A99"/>
    <w:rsid w:val="00883BF9"/>
    <w:rsid w:val="00897257"/>
    <w:rsid w:val="008A16B4"/>
    <w:rsid w:val="008A320D"/>
    <w:rsid w:val="008C67B7"/>
    <w:rsid w:val="008D2526"/>
    <w:rsid w:val="009149E3"/>
    <w:rsid w:val="00952304"/>
    <w:rsid w:val="00955C46"/>
    <w:rsid w:val="00957222"/>
    <w:rsid w:val="009655CF"/>
    <w:rsid w:val="00973E1B"/>
    <w:rsid w:val="00973EEE"/>
    <w:rsid w:val="00980318"/>
    <w:rsid w:val="00980489"/>
    <w:rsid w:val="00981C3A"/>
    <w:rsid w:val="009869CC"/>
    <w:rsid w:val="00986B80"/>
    <w:rsid w:val="009A6F86"/>
    <w:rsid w:val="009C5E13"/>
    <w:rsid w:val="009C6977"/>
    <w:rsid w:val="009F6ACD"/>
    <w:rsid w:val="00A01F63"/>
    <w:rsid w:val="00A23B42"/>
    <w:rsid w:val="00A30611"/>
    <w:rsid w:val="00A40850"/>
    <w:rsid w:val="00A42F44"/>
    <w:rsid w:val="00A45F86"/>
    <w:rsid w:val="00A46EAD"/>
    <w:rsid w:val="00A61801"/>
    <w:rsid w:val="00A73D90"/>
    <w:rsid w:val="00A76FBE"/>
    <w:rsid w:val="00A8499E"/>
    <w:rsid w:val="00A92733"/>
    <w:rsid w:val="00A92E5D"/>
    <w:rsid w:val="00A94FA1"/>
    <w:rsid w:val="00AA4757"/>
    <w:rsid w:val="00AC47CA"/>
    <w:rsid w:val="00AE244E"/>
    <w:rsid w:val="00AF5771"/>
    <w:rsid w:val="00AF5E62"/>
    <w:rsid w:val="00B01104"/>
    <w:rsid w:val="00B06384"/>
    <w:rsid w:val="00B20EB6"/>
    <w:rsid w:val="00B26283"/>
    <w:rsid w:val="00B32E6E"/>
    <w:rsid w:val="00B46459"/>
    <w:rsid w:val="00B56AA6"/>
    <w:rsid w:val="00B61C2A"/>
    <w:rsid w:val="00B6306D"/>
    <w:rsid w:val="00B935A4"/>
    <w:rsid w:val="00B95256"/>
    <w:rsid w:val="00BC7B45"/>
    <w:rsid w:val="00BE0B74"/>
    <w:rsid w:val="00BE7830"/>
    <w:rsid w:val="00BF0F4D"/>
    <w:rsid w:val="00BF19F2"/>
    <w:rsid w:val="00BF2B69"/>
    <w:rsid w:val="00C012A5"/>
    <w:rsid w:val="00C04DAA"/>
    <w:rsid w:val="00C163AB"/>
    <w:rsid w:val="00C20C37"/>
    <w:rsid w:val="00C247B3"/>
    <w:rsid w:val="00C249A0"/>
    <w:rsid w:val="00C3133B"/>
    <w:rsid w:val="00C31C01"/>
    <w:rsid w:val="00C32510"/>
    <w:rsid w:val="00C46066"/>
    <w:rsid w:val="00C612AC"/>
    <w:rsid w:val="00C672B3"/>
    <w:rsid w:val="00C72C6A"/>
    <w:rsid w:val="00C83953"/>
    <w:rsid w:val="00C85F7A"/>
    <w:rsid w:val="00C939D4"/>
    <w:rsid w:val="00C94ED4"/>
    <w:rsid w:val="00C972E4"/>
    <w:rsid w:val="00CB5F78"/>
    <w:rsid w:val="00CB63E9"/>
    <w:rsid w:val="00CC10F6"/>
    <w:rsid w:val="00CD6E9D"/>
    <w:rsid w:val="00CE3629"/>
    <w:rsid w:val="00CF6293"/>
    <w:rsid w:val="00D022C6"/>
    <w:rsid w:val="00D03E81"/>
    <w:rsid w:val="00D07A80"/>
    <w:rsid w:val="00D11FB6"/>
    <w:rsid w:val="00D20869"/>
    <w:rsid w:val="00D32D6D"/>
    <w:rsid w:val="00D578C2"/>
    <w:rsid w:val="00D663B4"/>
    <w:rsid w:val="00D77997"/>
    <w:rsid w:val="00D8371B"/>
    <w:rsid w:val="00D8483F"/>
    <w:rsid w:val="00D85CCC"/>
    <w:rsid w:val="00D8710F"/>
    <w:rsid w:val="00D97D96"/>
    <w:rsid w:val="00DB3429"/>
    <w:rsid w:val="00DE0753"/>
    <w:rsid w:val="00DE69E7"/>
    <w:rsid w:val="00DF2CAA"/>
    <w:rsid w:val="00DF7BD4"/>
    <w:rsid w:val="00E17688"/>
    <w:rsid w:val="00E20376"/>
    <w:rsid w:val="00E364D2"/>
    <w:rsid w:val="00E41BBF"/>
    <w:rsid w:val="00E42213"/>
    <w:rsid w:val="00E54703"/>
    <w:rsid w:val="00E5682F"/>
    <w:rsid w:val="00E60A65"/>
    <w:rsid w:val="00E864C7"/>
    <w:rsid w:val="00E9375E"/>
    <w:rsid w:val="00EA4F69"/>
    <w:rsid w:val="00EA7593"/>
    <w:rsid w:val="00EB2D97"/>
    <w:rsid w:val="00EC079A"/>
    <w:rsid w:val="00ED3CB9"/>
    <w:rsid w:val="00EE275E"/>
    <w:rsid w:val="00EF4B6E"/>
    <w:rsid w:val="00F04D34"/>
    <w:rsid w:val="00F04ECE"/>
    <w:rsid w:val="00F06C3C"/>
    <w:rsid w:val="00F16EF1"/>
    <w:rsid w:val="00F24407"/>
    <w:rsid w:val="00F31F3A"/>
    <w:rsid w:val="00F40BF5"/>
    <w:rsid w:val="00F56090"/>
    <w:rsid w:val="00F56357"/>
    <w:rsid w:val="00F605DE"/>
    <w:rsid w:val="00F718F7"/>
    <w:rsid w:val="00F82239"/>
    <w:rsid w:val="00FA73C2"/>
    <w:rsid w:val="00FC172C"/>
    <w:rsid w:val="00FE1FF5"/>
    <w:rsid w:val="00FE2213"/>
    <w:rsid w:val="00FE5157"/>
    <w:rsid w:val="00FE6A46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8F3C"/>
  <w15:docId w15:val="{704A34A3-EFBF-46C0-8359-71276041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color w:val="333333"/>
      <w:sz w:val="28"/>
      <w:szCs w:val="28"/>
      <w:shd w:val="clear" w:color="auto" w:fill="FFFFFF"/>
      <w:lang w:val="ru-RU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333333"/>
      <w:shd w:val="clear" w:color="auto" w:fill="FFFFFF"/>
      <w:lang w:val="ru-RU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">
    <w:name w:val="Основной шрифт абзаца1"/>
    <w:qFormat/>
  </w:style>
  <w:style w:type="character" w:customStyle="1" w:styleId="FontStyle19">
    <w:name w:val="Font Style1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3">
    <w:name w:val="s3"/>
    <w:qFormat/>
  </w:style>
  <w:style w:type="character" w:styleId="a3">
    <w:name w:val="Hyperlink"/>
    <w:rPr>
      <w:color w:val="000080"/>
      <w:u w:val="singl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qFormat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1"/>
    <w:qFormat/>
  </w:style>
  <w:style w:type="character" w:customStyle="1" w:styleId="a4">
    <w:name w:val="Верхній колонтитул Знак"/>
    <w:qFormat/>
    <w:rPr>
      <w:sz w:val="24"/>
      <w:szCs w:val="24"/>
    </w:rPr>
  </w:style>
  <w:style w:type="character" w:customStyle="1" w:styleId="a5">
    <w:name w:val="Нижній колонтитул Знак"/>
    <w:qFormat/>
    <w:rPr>
      <w:sz w:val="24"/>
      <w:szCs w:val="24"/>
    </w:rPr>
  </w:style>
  <w:style w:type="character" w:customStyle="1" w:styleId="fontstyle01">
    <w:name w:val="fontstyle01"/>
    <w:qFormat/>
    <w:rPr>
      <w:rFonts w:ascii="TimesNewRomanPSMT;Times New Rom" w:hAnsi="TimesNewRomanPSMT;Times New Rom" w:cs="TimesNewRomanPSMT;Times New Rom"/>
      <w:b w:val="0"/>
      <w:bCs w:val="0"/>
      <w:i w:val="0"/>
      <w:iCs w:val="0"/>
      <w:color w:val="000000"/>
      <w:sz w:val="28"/>
      <w:szCs w:val="28"/>
    </w:rPr>
  </w:style>
  <w:style w:type="character" w:customStyle="1" w:styleId="HTML">
    <w:name w:val="Стандартний HTML Знак"/>
    <w:qFormat/>
    <w:rPr>
      <w:rFonts w:ascii="Courier New" w:hAnsi="Courier New" w:cs="Courier New"/>
      <w:lang w:eastAsia="zh-CN"/>
    </w:rPr>
  </w:style>
  <w:style w:type="character" w:customStyle="1" w:styleId="30">
    <w:name w:val="Основний текст 3 Знак"/>
    <w:qFormat/>
    <w:rPr>
      <w:sz w:val="16"/>
      <w:szCs w:val="16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;Liberation Mono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;Liberation Mono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40">
    <w:name w:val="Название4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50">
    <w:name w:val="Указатель5"/>
    <w:basedOn w:val="a"/>
    <w:qFormat/>
    <w:pPr>
      <w:suppressLineNumbers/>
    </w:pPr>
    <w:rPr>
      <w:rFonts w:cs="Mangal;Liberation Mono"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41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0">
    <w:name w:val="Название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;Liberation Mono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next w:val="a"/>
    <w:qFormat/>
    <w:pPr>
      <w:spacing w:line="317" w:lineRule="exact"/>
      <w:ind w:firstLine="806"/>
    </w:pPr>
    <w:rPr>
      <w:lang w:val="ru-RU"/>
    </w:rPr>
  </w:style>
  <w:style w:type="paragraph" w:customStyle="1" w:styleId="p7">
    <w:name w:val="p7"/>
    <w:basedOn w:val="a"/>
    <w:qFormat/>
    <w:pPr>
      <w:spacing w:before="280" w:after="280"/>
    </w:pPr>
    <w:rPr>
      <w:lang w:val="ru-RU"/>
    </w:rPr>
  </w:style>
  <w:style w:type="paragraph" w:customStyle="1" w:styleId="p5">
    <w:name w:val="p5"/>
    <w:basedOn w:val="a"/>
    <w:qFormat/>
    <w:pPr>
      <w:spacing w:before="280" w:after="280"/>
    </w:pPr>
    <w:rPr>
      <w:lang w:val="ru-RU"/>
    </w:rPr>
  </w:style>
  <w:style w:type="paragraph" w:customStyle="1" w:styleId="p6">
    <w:name w:val="p6"/>
    <w:basedOn w:val="a"/>
    <w:qFormat/>
    <w:pPr>
      <w:spacing w:before="280" w:after="280"/>
    </w:pPr>
    <w:rPr>
      <w:lang w:val="ru-RU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3">
    <w:name w:val="Body Text 3"/>
    <w:basedOn w:val="a"/>
    <w:qFormat/>
    <w:pPr>
      <w:suppressAutoHyphens w:val="0"/>
      <w:spacing w:after="120"/>
    </w:pPr>
    <w:rPr>
      <w:sz w:val="16"/>
      <w:szCs w:val="16"/>
      <w:lang w:val="ru-RU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  <w:style w:type="paragraph" w:customStyle="1" w:styleId="af3">
    <w:name w:val="Вміст рам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4">
    <w:name w:val="List Paragraph"/>
    <w:basedOn w:val="a"/>
    <w:uiPriority w:val="34"/>
    <w:qFormat/>
    <w:rsid w:val="001E2C35"/>
    <w:pPr>
      <w:ind w:left="720"/>
      <w:contextualSpacing/>
    </w:pPr>
  </w:style>
  <w:style w:type="character" w:customStyle="1" w:styleId="af5">
    <w:name w:val="Виділення жирним"/>
    <w:qFormat/>
    <w:rsid w:val="009869CC"/>
    <w:rPr>
      <w:b/>
      <w:bCs/>
    </w:rPr>
  </w:style>
  <w:style w:type="table" w:styleId="af6">
    <w:name w:val="Table Grid"/>
    <w:basedOn w:val="a1"/>
    <w:uiPriority w:val="39"/>
    <w:rsid w:val="004C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qFormat/>
    <w:rsid w:val="00317B36"/>
    <w:rPr>
      <w:i/>
      <w:iCs/>
    </w:rPr>
  </w:style>
  <w:style w:type="character" w:customStyle="1" w:styleId="af8">
    <w:name w:val="Без інтервалів Знак"/>
    <w:link w:val="af9"/>
    <w:uiPriority w:val="1"/>
    <w:locked/>
    <w:rsid w:val="00D8371B"/>
    <w:rPr>
      <w:sz w:val="22"/>
      <w:szCs w:val="22"/>
      <w:lang w:eastAsia="en-US" w:bidi="ar-SA"/>
    </w:rPr>
  </w:style>
  <w:style w:type="paragraph" w:styleId="af9">
    <w:name w:val="No Spacing"/>
    <w:link w:val="af8"/>
    <w:uiPriority w:val="1"/>
    <w:qFormat/>
    <w:rsid w:val="00D8371B"/>
    <w:pPr>
      <w:suppressAutoHyphens w:val="0"/>
    </w:pPr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@lutskr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E5209-446E-4832-9473-09E2F521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3541</TotalTime>
  <Pages>9</Pages>
  <Words>10914</Words>
  <Characters>6221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Аналіз регуляторного впливу</vt:lpstr>
    </vt:vector>
  </TitlesOfParts>
  <Company/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subject/>
  <dc:creator>WORK</dc:creator>
  <dc:description/>
  <cp:lastModifiedBy>User</cp:lastModifiedBy>
  <cp:revision>822</cp:revision>
  <cp:lastPrinted>2022-01-28T12:07:00Z</cp:lastPrinted>
  <dcterms:created xsi:type="dcterms:W3CDTF">2019-04-16T10:59:00Z</dcterms:created>
  <dcterms:modified xsi:type="dcterms:W3CDTF">2022-02-01T14:21:00Z</dcterms:modified>
  <dc:language>uk-UA</dc:language>
</cp:coreProperties>
</file>