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3AD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2</w:t>
      </w:r>
    </w:p>
    <w:p w:rsidR="00A83AD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A83AD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A83ADF"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A83ADF" w:rsidRDefault="00A83ADF">
      <w:pPr>
        <w:spacing w:line="240" w:lineRule="auto"/>
        <w:ind w:right="7"/>
        <w:jc w:val="both"/>
        <w:rPr>
          <w:rFonts w:ascii="Times New Roman" w:eastAsia="Times New Roman" w:hAnsi="Times New Roman" w:cs="Times New Roman"/>
          <w:sz w:val="24"/>
          <w:szCs w:val="24"/>
        </w:rPr>
      </w:pPr>
    </w:p>
    <w:p w:rsidR="00A83ADF" w:rsidRDefault="00000000">
      <w:pPr>
        <w:spacing w:line="240" w:lineRule="auto"/>
        <w:ind w:right="7"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КОНЦЕПТУАЛЬНІ ЗАСАДИ МОВНО-ЛІТЕРАТУРНОЇ ОСВІТНЬОЇ ГАЛУЗІ </w:t>
      </w:r>
    </w:p>
    <w:p w:rsidR="00A83ADF" w:rsidRDefault="00000000">
      <w:pPr>
        <w:spacing w:line="240" w:lineRule="auto"/>
        <w:ind w:right="7"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(ІНШОМОВНА ОСВІТА)</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3AD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Особливість мовно-літературної освітньої галузі (іншомовна освіта)</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Україні в контексті незворотності європейського та євроатлантичного курсу та прагнення до посилення інтеграційних процесів, утвердження міжнародного іміджу держави у глобалізованому світі активно підтримується вивчення іноземних мов. Вони відіграють вагому роль у житті людини, забезпечуючи конкурентоспроможність на ринку праці, полегшуючи культурний обмін та наукове співробітництво. Опанування іноземними мовами уможливлює особистісний і професійний розвиток, сприяє розширенню світогляду, удосконалює інтелектуальні й соціальні вміння, необхідні для успіху в навчанні, карʼєрі та повсякденному житті. </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цьому контексті іншомовна освіта, як складова мовно-літературної освітньої галузі, набуває особливої ваги. Згідно із Законом України «Про освіту», мовно-літературна галузь охоплює українську мову та літературу, мови і літератури корінних народів і національних меншин, а також іншомовну освіту. Саме ця галузь відповідає за формування однієї з ключових компетентностей — здатності ефективно спілкуватися рідною (у разі відмінності від державної) та іноземними мовами. При цьому саме іншомовна освіта є одним із провідних інструментів розвитку цієї компетентності, а саме вміння комунікувати в багатомовному та міжкультурному середовищі, що є необхідною умовою для інтеграції здобувачів / здобувачок освіти у європейський освітній, культурний і професійний простір.</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іноземних мов є обов’язковим в Україні на всіх рівнях загальної середньої освіти. Окрім цього, Закон України «Про застосування англійської мови в Україні» (2024 р.) запроваджує обов’язкове вивчення англійської мови в закладах дошкільної освіти. Хоча акцент у Законі зроблено на англійській мові як мові міжнародного спілкування, ці заходи розглядають як елемент ширшої стратегії розвитку іншомовної освіти, яка охоплює всі іноземні мови, що вивчають у системі освіти, та спрямована на формування багатомовності здобувачів / здобувачок  освіти.</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втілення державної політики у сфері мовної освіти здійснюється також через низку нормативно-правових актів, покликаних створити мотиваційні умови для підвищення рівня володіння іноземними мовами. Зокрема, Постанова Кабінету Міністрів України від 7 березня 2025 р. № 257 визначає механізми підтримки для фахівців публічного сектору, які володіють англійською мовою. Цей документ, попри фокус на одній мові, є частиною загальної стратегії підвищення якості іншомовної освіти, що відповідає завданню інтеграції України в міжнародний простір і підвищення конкурентоспроможності її громадян.</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із завдань іншомовної освіти також є формування багатомовної особистості — мобільної, гнучкої, відкритої до культурного розмаїття та здатної ефективно взаємодіяти у глобалізованому світі. Друга іноземна мова — це не лише додатковий засіб комунікації, а й ефективний спосіб самовираження, розвитку критичного мислення та побудови академічної й професійної ідентичності. Зазвичай вивчення другої іноземної мови починається з 5-го класу, але ця вимога втратила обов’язковість у 2014 році.</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Вимоги до рівнів опанування іноземними мовами в нашій країні визначені в державних стандартах повної загальної середньої освіти та інших документах. Ці вимоги узгоджуються з міжнародно визначеними критеріями, зафіксованими в рекомендаціях Ради Європи з мовної освіти (CEFR).</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CEFR стосується насамперед учіння і навчання та сприяє прозорості й узгодженості між стандартами, навчальними програмами, навчанням та оцінюванням у межах закладу освіти, між установами, освітніми секторами, регіонами та країнами.</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огляду на те, що традиційна модель чотирьох умінь (аудіювання, говоріння, читання, письмо) не вповні спроможна описати складну реальність комунікації, CEFR у редакції від 2020 р. класифікує комунікативну мовленнєву діяльність через способи спілкування, а саме: сприймання, продукування, взаємодію та медіацію. Така модель більш точно відображає використання мови в реальному житті. Тож саме цю модель було взято за основу при структуруванні вітчизняних державних стандартів для кожного рівня загальної середньої освіти. Відповідно до цього в стандартах виокремлено групи результатів, які реалізуються через види комунікативної мовленнєвої діяльності та згідно з якими здобувачі / здобувачки освіти:</w:t>
      </w:r>
    </w:p>
    <w:p w:rsidR="00A83AD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сприймають усну й аудіовізуальну інформацію, зокрема й під час усної або онлайнової взаємодії та медіації;</w:t>
      </w:r>
    </w:p>
    <w:p w:rsidR="00A83AD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усно надають інформацію, висловлюють власні думки, почуття, ставлення та позицію, зокрема й під час усної або онлайнової взаємодії та медіації;</w:t>
      </w:r>
    </w:p>
    <w:p w:rsidR="00A83AD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сприймають письмовий текст, зокрема й під час писемної або онлайнової взаємодії і медіації;</w:t>
      </w:r>
    </w:p>
    <w:p w:rsidR="00A83ADF" w:rsidRDefault="00000000">
      <w:pPr>
        <w:numPr>
          <w:ilvl w:val="0"/>
          <w:numId w:val="6"/>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письмово надають інформацію, висловлюють власні думки, почуття, ставлення і позицію, зокрема й під час писемної або онлайнової взаємодії та медіації.</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Зі зростанням мовного й культурного різноманіття суспільств CEFR надає великого значення медіації як способу спілкування, який поєднує сприймання, продукування і взаємодію. Додатковий том CEFR пропонує дескриптори комунікативних мовленнєвих активностей і вмінь з медіації тексту, понять, спілкування.</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із принципів CEFR також є </w:t>
      </w:r>
      <w:r>
        <w:rPr>
          <w:rFonts w:ascii="Times New Roman" w:eastAsia="Times New Roman" w:hAnsi="Times New Roman" w:cs="Times New Roman"/>
          <w:sz w:val="24"/>
          <w:szCs w:val="24"/>
          <w:highlight w:val="white"/>
        </w:rPr>
        <w:t xml:space="preserve">багатомовність і багатокультурність / мультикультурність. </w:t>
      </w:r>
      <w:r>
        <w:rPr>
          <w:rFonts w:ascii="Times New Roman" w:eastAsia="Times New Roman" w:hAnsi="Times New Roman" w:cs="Times New Roman"/>
          <w:sz w:val="24"/>
          <w:szCs w:val="24"/>
        </w:rPr>
        <w:t>Користувач / користувачка мови опановує кілька мов, які взаємодіють між собою, і здатні ефективно діяти в мультикультурному середовищі. Гармонійне співіснування багатьох мов може слугувати мостом до інших людей, країн і культур, сприяючи взаємопізнанню і взаєморозумінню. Успішна політика багатомовності може покращити життєві можливості громадян та громадянок, а саме: надати більше нагод для працевлаштування, полегшити доступ до послуг, сприяти взаєморозумінню через посилення міжкультурної взаємодії і соціальної згуртованості. Мовне розмаїття може стати цінним надбанням, що набуває все більшого значення в сучасному глобалізованому світі.</w:t>
      </w:r>
    </w:p>
    <w:p w:rsidR="00A83ADF" w:rsidRDefault="00A83ADF">
      <w:pPr>
        <w:spacing w:line="240" w:lineRule="auto"/>
        <w:ind w:right="7" w:firstLine="566"/>
        <w:jc w:val="both"/>
        <w:rPr>
          <w:rFonts w:ascii="Times New Roman" w:eastAsia="Times New Roman" w:hAnsi="Times New Roman" w:cs="Times New Roman"/>
          <w:sz w:val="24"/>
          <w:szCs w:val="24"/>
        </w:rPr>
      </w:pPr>
    </w:p>
    <w:p w:rsidR="00A83ADF" w:rsidRDefault="00A83ADF">
      <w:pPr>
        <w:spacing w:line="240" w:lineRule="auto"/>
        <w:ind w:right="7"/>
        <w:jc w:val="both"/>
        <w:rPr>
          <w:rFonts w:ascii="Times New Roman" w:eastAsia="Times New Roman" w:hAnsi="Times New Roman" w:cs="Times New Roman"/>
          <w:b/>
          <w:sz w:val="24"/>
          <w:szCs w:val="24"/>
        </w:rPr>
      </w:pPr>
    </w:p>
    <w:p w:rsidR="00A83AD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Мета мовно-літературної освітньої галузі</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 стандарти іншомовної освіти в Україні створені на основі Рекомендацій Ради Європи з мовної освіти (CEFR)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що забезпечує узгодженість підходів до формування цілей навчання та розвитку мовленнєвих умінь учнів / учениць упродовж усього курсу іншомовної освіти. Саме тому в поданих нижче таблицях сформульовано мету іншомовної освіти на різних рівнях освіти (початкової, базової  та профільної) та на кожному освітньому циклі (від адаптаційно-ігрового до профільного). Оскільки іншомовна освіта є частиною мовно-літературної освітньої галузі, то мету для ланок освіти за державними стандартами вказано спільно для всієї галузі. </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Окрему увагу варто звернути на компонент </w:t>
      </w:r>
      <w:r>
        <w:rPr>
          <w:rFonts w:ascii="Times New Roman" w:eastAsia="Times New Roman" w:hAnsi="Times New Roman" w:cs="Times New Roman"/>
          <w:b/>
          <w:sz w:val="24"/>
          <w:szCs w:val="24"/>
        </w:rPr>
        <w:t>медіації</w:t>
      </w:r>
      <w:r>
        <w:rPr>
          <w:rFonts w:ascii="Times New Roman" w:eastAsia="Times New Roman" w:hAnsi="Times New Roman" w:cs="Times New Roman"/>
          <w:sz w:val="24"/>
          <w:szCs w:val="24"/>
        </w:rPr>
        <w:t xml:space="preserve">. У Державному стандарті профільної середньої освіти (поглиблений рівень) медіацію представлено як самостійну групу результатів навчання. Водночас для основного рівня профільної середньої освіти та для </w:t>
      </w:r>
      <w:r>
        <w:rPr>
          <w:rFonts w:ascii="Times New Roman" w:eastAsia="Times New Roman" w:hAnsi="Times New Roman" w:cs="Times New Roman"/>
          <w:sz w:val="24"/>
          <w:szCs w:val="24"/>
        </w:rPr>
        <w:lastRenderedPageBreak/>
        <w:t>початкової і базової середньої освіти елементи медіації інтегровані в інші способи спілкування — сприймання інформації, усне й письмове продукування та взаємодію.</w:t>
      </w:r>
    </w:p>
    <w:p w:rsidR="00A83ADF" w:rsidRDefault="00A83ADF">
      <w:pPr>
        <w:spacing w:line="240" w:lineRule="auto"/>
        <w:ind w:right="7"/>
        <w:jc w:val="right"/>
        <w:rPr>
          <w:rFonts w:ascii="Times New Roman" w:eastAsia="Times New Roman" w:hAnsi="Times New Roman" w:cs="Times New Roman"/>
          <w:sz w:val="24"/>
          <w:szCs w:val="24"/>
        </w:rPr>
      </w:pPr>
    </w:p>
    <w:p w:rsidR="00A83ADF" w:rsidRDefault="00A83ADF">
      <w:pPr>
        <w:spacing w:line="240" w:lineRule="auto"/>
        <w:ind w:right="7"/>
        <w:jc w:val="right"/>
        <w:rPr>
          <w:rFonts w:ascii="Times New Roman" w:eastAsia="Times New Roman" w:hAnsi="Times New Roman" w:cs="Times New Roman"/>
          <w:sz w:val="24"/>
          <w:szCs w:val="24"/>
        </w:rPr>
      </w:pPr>
    </w:p>
    <w:p w:rsidR="00A83ADF" w:rsidRDefault="00000000">
      <w:pPr>
        <w:spacing w:line="240" w:lineRule="auto"/>
        <w:ind w:right="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570"/>
      </w:tblGrid>
      <w:tr w:rsidR="00A83ADF">
        <w:trPr>
          <w:trHeight w:val="543"/>
        </w:trPr>
        <w:tc>
          <w:tcPr>
            <w:tcW w:w="9600" w:type="dxa"/>
            <w:gridSpan w:val="2"/>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мовно-літературної галузі (за державними стандартами)</w:t>
            </w:r>
          </w:p>
        </w:tc>
      </w:tr>
      <w:tr w:rsidR="00A83ADF">
        <w:trPr>
          <w:trHeight w:val="2099"/>
        </w:trPr>
        <w:tc>
          <w:tcPr>
            <w:tcW w:w="3030" w:type="dxa"/>
            <w:shd w:val="clear" w:color="auto" w:fill="auto"/>
            <w:tcMar>
              <w:top w:w="100" w:type="dxa"/>
              <w:left w:w="100" w:type="dxa"/>
              <w:bottom w:w="100" w:type="dxa"/>
              <w:right w:w="100" w:type="dxa"/>
            </w:tcMar>
          </w:tcPr>
          <w:p w:rsidR="00A83ADF" w:rsidRDefault="00000000">
            <w:pPr>
              <w:spacing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початкової освіти</w:t>
            </w:r>
          </w:p>
        </w:tc>
        <w:tc>
          <w:tcPr>
            <w:tcW w:w="6570" w:type="dxa"/>
            <w:shd w:val="clear" w:color="auto" w:fill="auto"/>
            <w:tcMar>
              <w:top w:w="100" w:type="dxa"/>
              <w:left w:w="100" w:type="dxa"/>
              <w:bottom w:w="100" w:type="dxa"/>
              <w:right w:w="100" w:type="dxa"/>
            </w:tcMar>
          </w:tcPr>
          <w:p w:rsidR="00A83ADF" w:rsidRDefault="00000000">
            <w:pPr>
              <w:spacing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 здобувачки  освіти.</w:t>
            </w:r>
          </w:p>
        </w:tc>
      </w:tr>
      <w:tr w:rsidR="00A83ADF">
        <w:trPr>
          <w:trHeight w:val="4148"/>
        </w:trPr>
        <w:tc>
          <w:tcPr>
            <w:tcW w:w="3030" w:type="dxa"/>
            <w:shd w:val="clear" w:color="auto" w:fill="auto"/>
            <w:tcMar>
              <w:top w:w="100" w:type="dxa"/>
              <w:left w:w="100" w:type="dxa"/>
              <w:bottom w:w="100" w:type="dxa"/>
              <w:right w:w="100" w:type="dxa"/>
            </w:tcMar>
          </w:tcPr>
          <w:p w:rsidR="00A83ADF" w:rsidRDefault="00000000">
            <w:pPr>
              <w:spacing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базової середньої освіти</w:t>
            </w:r>
          </w:p>
        </w:tc>
        <w:tc>
          <w:tcPr>
            <w:tcW w:w="6570" w:type="dxa"/>
            <w:shd w:val="clear" w:color="auto" w:fill="auto"/>
            <w:tcMar>
              <w:top w:w="100" w:type="dxa"/>
              <w:left w:w="100" w:type="dxa"/>
              <w:bottom w:w="100" w:type="dxa"/>
              <w:right w:w="100" w:type="dxa"/>
            </w:tcMar>
          </w:tcPr>
          <w:p w:rsidR="00A83ADF" w:rsidRDefault="00000000">
            <w:pPr>
              <w:spacing w:after="80"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Метою мовно-літературної освітньої галузі є розвиток компетентних мовців і читачів / читачок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w:t>
            </w:r>
            <w:r>
              <w:rPr>
                <w:rFonts w:ascii="Times New Roman" w:eastAsia="Times New Roman" w:hAnsi="Times New Roman" w:cs="Times New Roman"/>
                <w:b/>
                <w:sz w:val="24"/>
                <w:szCs w:val="24"/>
              </w:rPr>
              <w:t>здатні спілкуватися</w:t>
            </w:r>
            <w:r>
              <w:rPr>
                <w:rFonts w:ascii="Times New Roman" w:eastAsia="Times New Roman" w:hAnsi="Times New Roman" w:cs="Times New Roman"/>
                <w:sz w:val="24"/>
                <w:szCs w:val="24"/>
              </w:rPr>
              <w:t xml:space="preserve"> мовами корінних народів і національних меншин, </w:t>
            </w:r>
            <w:r>
              <w:rPr>
                <w:rFonts w:ascii="Times New Roman" w:eastAsia="Times New Roman" w:hAnsi="Times New Roman" w:cs="Times New Roman"/>
                <w:b/>
                <w:sz w:val="24"/>
                <w:szCs w:val="24"/>
              </w:rPr>
              <w:t>іноземними мовами</w:t>
            </w:r>
            <w:r>
              <w:rPr>
                <w:rFonts w:ascii="Times New Roman" w:eastAsia="Times New Roman" w:hAnsi="Times New Roman" w:cs="Times New Roman"/>
                <w:sz w:val="24"/>
                <w:szCs w:val="24"/>
              </w:rPr>
              <w:t xml:space="preserve">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tc>
      </w:tr>
      <w:tr w:rsidR="00A83ADF">
        <w:trPr>
          <w:trHeight w:val="5664"/>
        </w:trPr>
        <w:tc>
          <w:tcPr>
            <w:tcW w:w="3030" w:type="dxa"/>
            <w:shd w:val="clear" w:color="auto" w:fill="auto"/>
            <w:tcMar>
              <w:top w:w="100" w:type="dxa"/>
              <w:left w:w="100" w:type="dxa"/>
              <w:bottom w:w="100" w:type="dxa"/>
              <w:right w:w="100" w:type="dxa"/>
            </w:tcMar>
          </w:tcPr>
          <w:p w:rsidR="00A83ADF" w:rsidRDefault="00000000">
            <w:pPr>
              <w:spacing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Державний стандарт профільної середньої освіти</w:t>
            </w:r>
          </w:p>
        </w:tc>
        <w:tc>
          <w:tcPr>
            <w:tcW w:w="6570" w:type="dxa"/>
            <w:shd w:val="clear" w:color="auto" w:fill="auto"/>
            <w:tcMar>
              <w:top w:w="100" w:type="dxa"/>
              <w:left w:w="100" w:type="dxa"/>
              <w:bottom w:w="100" w:type="dxa"/>
              <w:right w:w="100" w:type="dxa"/>
            </w:tcMar>
          </w:tcPr>
          <w:p w:rsidR="00A83ADF" w:rsidRDefault="00000000">
            <w:pPr>
              <w:spacing w:before="100" w:line="240" w:lineRule="auto"/>
              <w:ind w:left="5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Метою мовно-літературної освітньої галузі є розвиток компетентних мовців і читачів / читачок із гуманістичним світоглядом, які шанують українську мову, володіють українською мовою і використовують її в повсякденному житті та в професійних сферах, розуміють важливість української мови як національної цінності та важливого атрибута української національної і громадянської ідентичності, здатні спілкуватися рідною мовою (у разі відмінності від державної), іноземними мовами, читають інформаційні та художні тексти української і зарубіжних літератур для духовного, культурного і національного самовираження, міжкультурного діалогу, збагачення емоційно-чуттєвого досвіду, творчої самореалізації, формування системи суспільно-державних (національних) цінностей України і ставлень, а також для подальшого професійного становлення, формування громадянської стійкості.</w:t>
            </w:r>
          </w:p>
        </w:tc>
      </w:tr>
    </w:tbl>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A83ADF">
      <w:pPr>
        <w:spacing w:line="240" w:lineRule="auto"/>
        <w:ind w:right="7"/>
        <w:jc w:val="both"/>
        <w:rPr>
          <w:rFonts w:ascii="Times New Roman" w:eastAsia="Times New Roman" w:hAnsi="Times New Roman" w:cs="Times New Roman"/>
          <w:b/>
          <w:sz w:val="24"/>
          <w:szCs w:val="24"/>
          <w:vertAlign w:val="superscript"/>
        </w:rPr>
      </w:pPr>
    </w:p>
    <w:p w:rsidR="00A83ADF"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2</w:t>
      </w:r>
    </w:p>
    <w:p w:rsidR="00A83ADF" w:rsidRDefault="00000000">
      <w:pPr>
        <w:spacing w:line="240" w:lineRule="auto"/>
        <w:ind w:right="7" w:firstLine="56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іншомовної освіти на кожному освітньому циклі</w:t>
      </w: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A83ADF">
        <w:trPr>
          <w:trHeight w:val="420"/>
        </w:trPr>
        <w:tc>
          <w:tcPr>
            <w:tcW w:w="9615" w:type="dxa"/>
            <w:gridSpan w:val="2"/>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(адаптаційно-ігровий цикл)</w:t>
            </w: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(основний цикл) </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розпізнавати знайомі слова, прості запитання та повідомлення на слух у знайомому повсякденному контексті, за умови повільного і чіткого мовлення, з опорою на міміку, жести або зображення;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розпізнавати знайомі слова, знаки та фрази в супроводі зображень у добре знайомому контексті (наприклад, меню із зображеннями, вивіски), що ілюструють значення;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розповідати про себе за допомогою коротких фраз, передаючи базову особисту інформацію (ім’я, родина, </w:t>
            </w:r>
            <w:r>
              <w:rPr>
                <w:rFonts w:ascii="Times New Roman" w:eastAsia="Times New Roman" w:hAnsi="Times New Roman" w:cs="Times New Roman"/>
                <w:sz w:val="24"/>
                <w:szCs w:val="24"/>
              </w:rPr>
              <w:lastRenderedPageBreak/>
              <w:t>улюблене заняття);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надавати базову особисту інформацію (наприклад, ім’я, хобі) у вигляді коротких фраз або окремих слів, за потреби з використанням словника;</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ставити й відповідати на запитання про себе та повсякденні ситуації, використовуючи прості шаблонні вирази й покладаючись на жести для підтримки розуміння;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надавати базову особисту інформацію (наприклад, ім’я, адресу, дані про родину) за допомогою коротких фраз у, наприклад, записках, за потреби використовуючи словник;</w:t>
            </w:r>
          </w:p>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sz w:val="24"/>
                <w:szCs w:val="24"/>
              </w:rPr>
              <w:t>– створювати в безпечному онлайн-середовищі прості онлайн-привітання й повідомлення про себе за допомогою шаблонних фраз або з використанням перекладача чи вибору з меню.</w:t>
            </w: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дуже повільне і чітко артикульоване мовлення на знайомі теми, а також сприймати конкретну інформацію (місце, час) у простих усних повідомленнях, за умови наявності пауз для осмислення змісту;</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дуже короткі, прості тексти, що складаються з окремих фраз, знайомих слів і виразів, з повторним перечитуванням за потреби для засвоєння змісту;</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прості фрази про знайомих людей, предмети або місця без зв’язного висловлювання;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складати прості фрази та речення, а також </w:t>
            </w:r>
            <w:r>
              <w:rPr>
                <w:rFonts w:ascii="Times New Roman" w:eastAsia="Times New Roman" w:hAnsi="Times New Roman" w:cs="Times New Roman"/>
                <w:sz w:val="24"/>
                <w:szCs w:val="24"/>
              </w:rPr>
              <w:lastRenderedPageBreak/>
              <w:t>передавати особисту інформацію (уподобання, родина, домашні улюбленці) за допомогою базової лексики;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взаємодіяти у простій формі, з можливістю ставити й відповідати на запитання в знайомих ситуаціях, використовуючи короткі фрази та повтори для забезпечення розуміння;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запитувати й передавати прості особисті дані письмово (наприклад, написати коротке повідомлення);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дуже прості особисті повідомлення онлайн (про вподобання, хобі), використовувати шаблонні вирази для реагування (подяка, вибачення);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демонструвати за допомогою простих слів / знаків і невербальних засобів інтерес до ідеї та передавати базову передбачувану інформацію в коротких повідомленнях, знаках, постерах або програмах.</w:t>
            </w:r>
          </w:p>
        </w:tc>
      </w:tr>
      <w:tr w:rsidR="00A83ADF">
        <w:tc>
          <w:tcPr>
            <w:tcW w:w="9615" w:type="dxa"/>
            <w:gridSpan w:val="2"/>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Базова середня освіта</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фрази й вирази на теми, пов’язані з  особистим життям (особиста інформація, покупки, орієнтація в місті, робота), якщо мовлення чітке й повільне;</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короткі, прості тексти на знайомі теми із часто вживаною лексикою (наприклад, інструкції, оголошення, листівки);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прості усні описи людей, умов життя чи навчання, повсякденних справ, уподобань, використовуючи короткі речення, з’єднані простими сполучниками;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низку простих речень і фраз, пов’язаних простими сполучниками (наприклад, «і», «але», «тому що») для опису знайомих тем;</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підтримувати коротку розмову в передбачуваних повсякденних ситуаціях, ставити запитання та обмінюватися простими думками й інформацією на знайомі теми (навчання, </w:t>
            </w:r>
            <w:r>
              <w:rPr>
                <w:rFonts w:ascii="Times New Roman" w:eastAsia="Times New Roman" w:hAnsi="Times New Roman" w:cs="Times New Roman"/>
                <w:sz w:val="24"/>
                <w:szCs w:val="24"/>
              </w:rPr>
              <w:lastRenderedPageBreak/>
              <w:t>вільний час, події);</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складати короткі, прості, шаблонні записки, що стосуються нагальних потреб у повсякденному житті (наприклад, повідомлення, прохання, нагадування);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брати участь в елементарному соціальному онлайн-спілкуванні (наприклад, у віртуальних листівках, чатах, повідомленнях), використовуючи базову лексику, навіть за умови опори на онлайн-перекладач;</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підтримувати взаємодію, передаючи зміст коротких, чітко структурованих текстів на знайомі, повсякденні теми, а також за потреби просити пояснення і описувати суть проблеми простими словами.</w:t>
            </w: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розуміти основну та конкретну інформацію в усному мовленні на знайомі теми (робота, школа, дозвілля), якщо мовлення чітке;</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читати з розумінням тексти на знайомі теми, що відповідають сфері інтересів учнів / учениць;</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досить вільно підтримувати простий монолог на знайомі теми, логічно структуруючи висловлювання в послідовність пунктів;</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писати зв’язні тексти на знайомі теми, поєднуючи окремі фрази та речення в логічно послідовне висловлення;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взаємодіяти впевнено в повсякденних ситуаціях, обмінюватися, перевіряти та підтверджувати інформацію, пояснювати проблеми й висловлювати думки щодо почутої інформації;</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писати особисті листи та записки з метою передання або запиту важливої для себе інформації, аргументуючи її значущість;</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створювати особисті пости про досвід, події й емоції, реагувати на коментарі інших </w:t>
            </w:r>
            <w:r>
              <w:rPr>
                <w:rFonts w:ascii="Times New Roman" w:eastAsia="Times New Roman" w:hAnsi="Times New Roman" w:cs="Times New Roman"/>
                <w:sz w:val="24"/>
                <w:szCs w:val="24"/>
              </w:rPr>
              <w:lastRenderedPageBreak/>
              <w:t>з відповідною деталізацією, попри можливі лексичні обмеження;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підтримувати взаємодію, передаючи зміст коротких, чітко структурованих текстів на знайомі, повсякденні теми, а також за потреби просити пояснення і описувати суть проблеми простими словами.</w:t>
            </w:r>
          </w:p>
          <w:p w:rsidR="00A83ADF" w:rsidRDefault="00A83ADF">
            <w:pPr>
              <w:widowControl w:val="0"/>
              <w:spacing w:line="240" w:lineRule="auto"/>
              <w:ind w:left="141" w:right="7"/>
              <w:jc w:val="both"/>
              <w:rPr>
                <w:rFonts w:ascii="Times New Roman" w:eastAsia="Times New Roman" w:hAnsi="Times New Roman" w:cs="Times New Roman"/>
                <w:sz w:val="24"/>
                <w:szCs w:val="24"/>
              </w:rPr>
            </w:pPr>
          </w:p>
        </w:tc>
      </w:tr>
      <w:tr w:rsidR="00A83ADF">
        <w:tc>
          <w:tcPr>
            <w:tcW w:w="9615" w:type="dxa"/>
            <w:gridSpan w:val="2"/>
            <w:shd w:val="clear" w:color="auto" w:fill="auto"/>
            <w:tcMar>
              <w:top w:w="100" w:type="dxa"/>
              <w:left w:w="100" w:type="dxa"/>
              <w:bottom w:w="100" w:type="dxa"/>
              <w:right w:w="100" w:type="dxa"/>
            </w:tcMar>
          </w:tcPr>
          <w:p w:rsidR="00A83ADF" w:rsidRDefault="00000000">
            <w:pPr>
              <w:widowControl w:val="0"/>
              <w:spacing w:line="240" w:lineRule="auto"/>
              <w:ind w:left="141"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Профільна середня освіта </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firstLine="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 (профільно-адаптаційний цикл)</w:t>
            </w: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firstLine="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 класи (профільний цикл)</w:t>
            </w:r>
          </w:p>
        </w:tc>
      </w:tr>
      <w:tr w:rsidR="00A83ADF">
        <w:tc>
          <w:tcPr>
            <w:tcW w:w="4590"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головні ідеї усного повідомлення, зокрема аргументовані висловлення на конкретні й абстрактні теми, у стандартному мовленні або знайомому варіанті, з урахуванням лексико-граматичної складності та логічної структури висловлювання;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самостійно читати різноманітні тексти, адаптуючи стиль і темп читання залежно від цілей, та вибірково користуватися довідковими ресурсами;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чітко й докладно описувати різні теми зі сфери інтересів, висвітлюючи ключові моменти, супроводжуючи їх прикладами, другорядними деталями та аргументацією;</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чіткі, розгорнуті тексти на різні теми у сфері особистих інтересів, з урахуванням аргументів і аналізу інформації з різних джерел;</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вільної усної взаємодії щодо широкого діапазону ситуацій, із можливістю підтримувати розмову, аргументувати власні думки та </w:t>
            </w:r>
            <w:r>
              <w:rPr>
                <w:rFonts w:ascii="Times New Roman" w:eastAsia="Times New Roman" w:hAnsi="Times New Roman" w:cs="Times New Roman"/>
                <w:sz w:val="24"/>
                <w:szCs w:val="24"/>
              </w:rPr>
              <w:lastRenderedPageBreak/>
              <w:t>висвітлювати особисте ставлення до подій і досвіду;</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ефективно письмово передавати новини, ідеї та особисті погляди, з урахуванням реакції іншого адресата, а також підтримувати діалог письмовими засобами;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брати активну участь в онлайн-дискусіях, висловлювати та обґрунтовувати власні думки, відповідати на позиції інших учасників / учасниць.</w:t>
            </w:r>
          </w:p>
          <w:p w:rsidR="00A83ADF" w:rsidRDefault="00A83ADF">
            <w:pPr>
              <w:widowControl w:val="0"/>
              <w:spacing w:line="240" w:lineRule="auto"/>
              <w:ind w:left="141" w:right="7"/>
              <w:jc w:val="both"/>
              <w:rPr>
                <w:rFonts w:ascii="Times New Roman" w:eastAsia="Times New Roman" w:hAnsi="Times New Roman" w:cs="Times New Roman"/>
                <w:sz w:val="24"/>
                <w:szCs w:val="24"/>
              </w:rPr>
            </w:pPr>
          </w:p>
        </w:tc>
        <w:tc>
          <w:tcPr>
            <w:tcW w:w="5025" w:type="dxa"/>
            <w:shd w:val="clear" w:color="auto" w:fill="auto"/>
            <w:tcMar>
              <w:top w:w="100" w:type="dxa"/>
              <w:left w:w="100" w:type="dxa"/>
              <w:bottom w:w="100" w:type="dxa"/>
              <w:right w:w="100" w:type="dxa"/>
            </w:tcMar>
          </w:tcPr>
          <w:p w:rsidR="00A83ADF" w:rsidRDefault="00000000">
            <w:pPr>
              <w:widowControl w:val="0"/>
              <w:spacing w:line="240" w:lineRule="auto"/>
              <w:ind w:left="141"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Формування особистості здобувачів / здобувачок освіти, здатних:</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брати участь у комунікації між людьми з різним досвідом, проявляючи зацікавленість, співпереживання та ініціюючи запитання або пропозиції; сприяти вмінню переказувати основні ідеї довших текстів знайомої тематики, використовуючи нескладну лексику з опорою на перевірку значень (для поглибленого рівня профільної середньої освіти — медіація);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розуміти головні ідеї усного повідомлення, зокрема аргументовані висловлення на конкретні й абстрактні теми, у стандартному мовленні або знайомому варіанті, з урахуванням лексико-граматичної складності та логічної структури висловлювання;</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самостійно читати різноманітні тексти, адаптуючи стиль і темп читання залежно від цілей, та вибірково користуватися довідковими ресурсами;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чітко й докладно описувати різні теми зі сфери інтересів, висвітлюючи ключові моменти, супроводжуючи їх прикладами, другорядними деталями та аргументацією;</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створювати чіткі, розгорнуті тексти на різні теми у сфері особистих інтересів, з урахуванням аргументів і аналізу інформації з різних джерел;</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до вільної усної взаємодії щодо широкого діапазону ситуацій, із можливістю підтримувати розмову, аргументувати власні думки та висвітлювати особисте ставлення до подій і досвіду;</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ефективно письмово передавати новини, ідеї та особисті погляди, з урахуванням реакції іншого адресата, а також підтримувати діалог письмовими засобами;</w:t>
            </w:r>
          </w:p>
          <w:p w:rsidR="00A83ADF" w:rsidRDefault="00000000">
            <w:pPr>
              <w:widowControl w:val="0"/>
              <w:spacing w:line="240" w:lineRule="auto"/>
              <w:ind w:left="141" w:right="7"/>
              <w:rPr>
                <w:rFonts w:ascii="Times New Roman" w:eastAsia="Times New Roman" w:hAnsi="Times New Roman" w:cs="Times New Roman"/>
                <w:sz w:val="24"/>
                <w:szCs w:val="24"/>
              </w:rPr>
            </w:pPr>
            <w:r>
              <w:rPr>
                <w:rFonts w:ascii="Times New Roman" w:eastAsia="Times New Roman" w:hAnsi="Times New Roman" w:cs="Times New Roman"/>
                <w:sz w:val="24"/>
                <w:szCs w:val="24"/>
              </w:rPr>
              <w:t>– брати активну участь в онлайн-дискусіях, висловлювати та обґрунтовувати власні думки, відповідати на позиції інших учасників / учасниць.</w:t>
            </w:r>
          </w:p>
        </w:tc>
      </w:tr>
    </w:tbl>
    <w:p w:rsidR="00A83ADF" w:rsidRDefault="00A83ADF">
      <w:pPr>
        <w:spacing w:line="240" w:lineRule="auto"/>
        <w:ind w:right="7"/>
        <w:jc w:val="both"/>
        <w:rPr>
          <w:rFonts w:ascii="Times New Roman" w:eastAsia="Times New Roman" w:hAnsi="Times New Roman" w:cs="Times New Roman"/>
          <w:sz w:val="24"/>
          <w:szCs w:val="24"/>
        </w:rPr>
      </w:pP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Загальною наскрізною метою іншомовної освіти відповідно до державних стандартів  є розвиток здатності учнівства спілкуватися іноземними мовами у взаємозв’язку з культурною та іншими ключовими компетентностями для духовного, культурного й національного самовираження і міжкультурної взаємодії, для збагачення емоційно-чуттєвого досвіду, творчої самореалізації, мовленнєвої творчості, формування ціннісних орієнтацій і ставлень.</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державних стандартів, здобувачі / здобувачки  освіти досягають таких рівнів опанування іноземної мови:</w:t>
      </w:r>
    </w:p>
    <w:p w:rsidR="00A83ADF"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3</w:t>
      </w:r>
    </w:p>
    <w:tbl>
      <w:tblPr>
        <w:tblStyle w:val="a7"/>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55"/>
        <w:gridCol w:w="1455"/>
        <w:gridCol w:w="1455"/>
        <w:gridCol w:w="1455"/>
        <w:gridCol w:w="2205"/>
      </w:tblGrid>
      <w:tr w:rsidR="00A83ADF">
        <w:trPr>
          <w:trHeight w:val="660"/>
        </w:trPr>
        <w:tc>
          <w:tcPr>
            <w:tcW w:w="1590" w:type="dxa"/>
          </w:tcPr>
          <w:p w:rsidR="00A83ADF" w:rsidRDefault="00000000">
            <w:pPr>
              <w:spacing w:line="240" w:lineRule="auto"/>
              <w:ind w:right="-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 освіти</w:t>
            </w:r>
          </w:p>
        </w:tc>
        <w:tc>
          <w:tcPr>
            <w:tcW w:w="2910" w:type="dxa"/>
            <w:gridSpan w:val="2"/>
          </w:tcPr>
          <w:p w:rsidR="00A83ADF" w:rsidRDefault="00000000">
            <w:pPr>
              <w:spacing w:line="240" w:lineRule="auto"/>
              <w:ind w:right="-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w:t>
            </w:r>
          </w:p>
        </w:tc>
        <w:tc>
          <w:tcPr>
            <w:tcW w:w="2910" w:type="dxa"/>
            <w:gridSpan w:val="2"/>
          </w:tcPr>
          <w:p w:rsidR="00A83ADF" w:rsidRDefault="00000000">
            <w:pPr>
              <w:spacing w:line="240" w:lineRule="auto"/>
              <w:ind w:right="-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базова середня</w:t>
            </w:r>
          </w:p>
        </w:tc>
        <w:tc>
          <w:tcPr>
            <w:tcW w:w="2205" w:type="dxa"/>
          </w:tcPr>
          <w:p w:rsidR="00A83ADF" w:rsidRDefault="00000000">
            <w:pPr>
              <w:spacing w:line="240" w:lineRule="auto"/>
              <w:ind w:right="-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профільна середня</w:t>
            </w:r>
          </w:p>
        </w:tc>
      </w:tr>
      <w:tr w:rsidR="00A83ADF">
        <w:trPr>
          <w:trHeight w:val="157"/>
        </w:trPr>
        <w:tc>
          <w:tcPr>
            <w:tcW w:w="1590" w:type="dxa"/>
          </w:tcPr>
          <w:p w:rsidR="00A83ADF" w:rsidRDefault="00000000">
            <w:pPr>
              <w:spacing w:line="240" w:lineRule="auto"/>
              <w:ind w:righ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Іноземна мова</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наприкінці 2-го класу</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наприкінці 4-го класу</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наприкінці 6-го класу</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наприкінці 9-го класу</w:t>
            </w:r>
          </w:p>
        </w:tc>
        <w:tc>
          <w:tcPr>
            <w:tcW w:w="220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наприкінці 12-го класу</w:t>
            </w:r>
          </w:p>
        </w:tc>
      </w:tr>
      <w:tr w:rsidR="00A83ADF">
        <w:trPr>
          <w:trHeight w:val="156"/>
        </w:trPr>
        <w:tc>
          <w:tcPr>
            <w:tcW w:w="1590" w:type="dxa"/>
          </w:tcPr>
          <w:p w:rsidR="00A83ADF" w:rsidRDefault="00000000">
            <w:pPr>
              <w:spacing w:line="240" w:lineRule="auto"/>
              <w:ind w:righ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перша</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pre-A1</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A1</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A2</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B1</w:t>
            </w:r>
          </w:p>
        </w:tc>
        <w:tc>
          <w:tcPr>
            <w:tcW w:w="220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B2</w:t>
            </w:r>
          </w:p>
        </w:tc>
      </w:tr>
      <w:tr w:rsidR="00A83ADF">
        <w:trPr>
          <w:trHeight w:val="156"/>
        </w:trPr>
        <w:tc>
          <w:tcPr>
            <w:tcW w:w="1590" w:type="dxa"/>
          </w:tcPr>
          <w:p w:rsidR="00A83ADF" w:rsidRDefault="00000000">
            <w:pPr>
              <w:spacing w:line="240" w:lineRule="auto"/>
              <w:ind w:righ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друга</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А1</w:t>
            </w:r>
          </w:p>
        </w:tc>
        <w:tc>
          <w:tcPr>
            <w:tcW w:w="145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А2</w:t>
            </w:r>
          </w:p>
        </w:tc>
        <w:tc>
          <w:tcPr>
            <w:tcW w:w="2205" w:type="dxa"/>
          </w:tcPr>
          <w:p w:rsidR="00A83ADF" w:rsidRDefault="00000000">
            <w:pPr>
              <w:spacing w:line="24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В1</w:t>
            </w:r>
          </w:p>
        </w:tc>
      </w:tr>
    </w:tbl>
    <w:p w:rsidR="00A83ADF" w:rsidRDefault="00A83ADF">
      <w:pPr>
        <w:spacing w:line="240" w:lineRule="auto"/>
        <w:ind w:right="7" w:firstLine="566"/>
        <w:jc w:val="both"/>
        <w:rPr>
          <w:rFonts w:ascii="Times New Roman" w:eastAsia="Times New Roman" w:hAnsi="Times New Roman" w:cs="Times New Roman"/>
          <w:sz w:val="24"/>
          <w:szCs w:val="24"/>
        </w:rPr>
      </w:pP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Рівні володіння мовою визначають результати навчальних досягнень у кожному виді комунікативної мовленнєвої діяльності (сприймання, продукування, взаємодія) та узгоджуються з дескрипторами CEFR. У старшій профільній школі як на основному, так і на поглибленому рівні вони відповідають рівню B2. Водночас поглиблений рівень передбачає додатковий вид мовленнєвої діяльності — медіацію, що забезпечує посилену підготовку учнів / учениць, які обирають відповідний профіль. </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Узгодження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результатів навчання, визначених у державних стандартах, із CEFR створює підґрунтя для міжнародного порівняння рівнів опанування мови та сприяє розвитку мовної і міжкультурної свідомості, дає змогу розвивати наскрізні вміння як основу для формування ключових компетентностей.</w:t>
      </w:r>
    </w:p>
    <w:p w:rsidR="00A83ADF" w:rsidRDefault="00A83ADF">
      <w:pPr>
        <w:spacing w:line="240" w:lineRule="auto"/>
        <w:ind w:right="7" w:firstLine="566"/>
        <w:jc w:val="both"/>
        <w:rPr>
          <w:rFonts w:ascii="Times New Roman" w:eastAsia="Times New Roman" w:hAnsi="Times New Roman" w:cs="Times New Roman"/>
          <w:sz w:val="24"/>
          <w:szCs w:val="24"/>
        </w:rPr>
      </w:pPr>
    </w:p>
    <w:p w:rsidR="00A83AD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ІІІ. </w:t>
      </w:r>
      <w:r>
        <w:rPr>
          <w:rFonts w:ascii="Times New Roman" w:eastAsia="Times New Roman" w:hAnsi="Times New Roman" w:cs="Times New Roman"/>
          <w:b/>
          <w:sz w:val="24"/>
          <w:szCs w:val="24"/>
        </w:rPr>
        <w:t>Структура галузі</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Державних стандартах загальної середньої освіти результати навчання з іншомовної освіти формулюються з урахуванням вікових особливостей учнів / учениць та принципу поступового ускладнення навчального матеріалу.</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Загальні результати в кожному стандарті слугують орієнтирами освітніх досягнень на певному етапі навчання і конкретизуються через відповідні конкретні результати та орієнтири для оцінювання. Водночас кількість груп результатів навчання відрізняються: у стандартах початкової та базової середньої освіти виокремлено три основні групи, тоді як у стандарті профільної середньої освіти додається четверта — медіація, що відображає ускладнення змісту та зростання автономії учнів та учениць у спілкуванні іноземною мовою. Такий підхід забезпечує наступність, узгодженість очікувань до навчальних досягнень на всіх рівнях та сприяє формуванню цілісної комунікативної компетентності.</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Групи результатів навчання, які передбачені державними стандартами загальної середньої освіти:</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ІНО 1</w:t>
      </w:r>
      <w:r>
        <w:rPr>
          <w:rFonts w:ascii="Times New Roman" w:eastAsia="Times New Roman" w:hAnsi="Times New Roman" w:cs="Times New Roman"/>
          <w:sz w:val="24"/>
          <w:szCs w:val="24"/>
        </w:rPr>
        <w:t xml:space="preserve"> — Сприймає усну, аудіовізуальну інформацію та письмові тексти іноземною мовою в умовах безпосереднього та опосередкованого міжкультурного спілкування.</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ІНО 2</w:t>
      </w:r>
      <w:r>
        <w:rPr>
          <w:rFonts w:ascii="Times New Roman" w:eastAsia="Times New Roman" w:hAnsi="Times New Roman" w:cs="Times New Roman"/>
          <w:sz w:val="24"/>
          <w:szCs w:val="24"/>
        </w:rPr>
        <w:t xml:space="preserve"> — Взаємодіє з іншими особами в усній і письмовій формі та в режимі реального часу засобами іноземної мови.</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ІНО 3</w:t>
      </w:r>
      <w:r>
        <w:rPr>
          <w:rFonts w:ascii="Times New Roman" w:eastAsia="Times New Roman" w:hAnsi="Times New Roman" w:cs="Times New Roman"/>
          <w:sz w:val="24"/>
          <w:szCs w:val="24"/>
        </w:rPr>
        <w:t xml:space="preserve"> — Надає інформацію, висловлює думки, почуття та ставлення іноземною мовою.</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ІНО 4</w:t>
      </w:r>
      <w:r>
        <w:rPr>
          <w:rFonts w:ascii="Times New Roman" w:eastAsia="Times New Roman" w:hAnsi="Times New Roman" w:cs="Times New Roman"/>
          <w:b/>
          <w:sz w:val="24"/>
          <w:szCs w:val="24"/>
          <w:vertAlign w:val="superscript"/>
        </w:rPr>
        <w:footnoteReference w:id="2"/>
      </w:r>
      <w:r>
        <w:rPr>
          <w:rFonts w:ascii="Times New Roman" w:eastAsia="Times New Roman" w:hAnsi="Times New Roman" w:cs="Times New Roman"/>
          <w:sz w:val="24"/>
          <w:szCs w:val="24"/>
        </w:rPr>
        <w:t xml:space="preserve"> — Діє як учасник / учасниця соціуму, який встановлює і допомагає налагоджувати соціальну взаємодію шляхом передавання змісту усного, письмового повідомлення або онлайн-повідомлення з однієї мови іншою.</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Група результатів навчання </w:t>
      </w:r>
      <w:r>
        <w:rPr>
          <w:rFonts w:ascii="Times New Roman" w:eastAsia="Times New Roman" w:hAnsi="Times New Roman" w:cs="Times New Roman"/>
          <w:b/>
          <w:sz w:val="24"/>
          <w:szCs w:val="24"/>
        </w:rPr>
        <w:t>ІНО 1</w:t>
      </w:r>
      <w:r>
        <w:rPr>
          <w:rFonts w:ascii="Times New Roman" w:eastAsia="Times New Roman" w:hAnsi="Times New Roman" w:cs="Times New Roman"/>
          <w:sz w:val="24"/>
          <w:szCs w:val="24"/>
        </w:rPr>
        <w:t xml:space="preserve"> спрямована на розвиток умінь сприймати усну, аудіовізуальну інформацію та письмові тексти іноземною мовою в умовах безпосереднього та опосередкованого міжкультурного спілкування. Вона передбачає формування здатності розуміти основний зміст та окремі деталі висловлювань, оголошень, інструкцій, розмов і текстів різного типу, адаптованих до віку учнів / учениць. Результати цієї групи охоплюють як сприймання мовлення наживо, зокрема в повсякденних ситуаціях, так і розуміння медіатекстів — аудіо, відео та письмових повідомлень. У середніх та старших класах до цього додається розвиток стратегій смислової обробки інформації, як-от: передбачення змісту, виокремлення основної інформації та здогадування значень незнайомих слів з контексту.</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Група результатів навчання </w:t>
      </w:r>
      <w:r>
        <w:rPr>
          <w:rFonts w:ascii="Times New Roman" w:eastAsia="Times New Roman" w:hAnsi="Times New Roman" w:cs="Times New Roman"/>
          <w:b/>
          <w:sz w:val="24"/>
          <w:szCs w:val="24"/>
        </w:rPr>
        <w:t>ІНО 2</w:t>
      </w:r>
      <w:r>
        <w:rPr>
          <w:rFonts w:ascii="Times New Roman" w:eastAsia="Times New Roman" w:hAnsi="Times New Roman" w:cs="Times New Roman"/>
          <w:sz w:val="24"/>
          <w:szCs w:val="24"/>
        </w:rPr>
        <w:t xml:space="preserve"> спрямована на формування здатності ефективно взаємодіяти з іншими особами іноземною мовою в усній, письмовій формі та в онлайновому середовищі. Вона охоплює розвиток умінь брати участь у обговореннях, підтримувати бесіду, ставити й відповідати на запитання, реагувати на репліки співрозмовника / співрозмовниці у типових повсякденних ситуаціях. У межах цієї групи також формуються уміння письмової взаємодії — написання коротких повідомлень, записок, листів — і поступово розширюється здатність до онлайнової комунікації з використанням базових цифрових інструментів. У базовій та профільній середній освіті акцент переноситься на розвиток стратегій комунікативної співпраці, налагодження міжкультурної взаємодії, застосування ввічливих форм мовлення, ініціювання й підтримку розмови, а також на вміння просити уточнення та демонструвати розуміння в процесі спілкування.</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Група результатів навчання </w:t>
      </w:r>
      <w:r>
        <w:rPr>
          <w:rFonts w:ascii="Times New Roman" w:eastAsia="Times New Roman" w:hAnsi="Times New Roman" w:cs="Times New Roman"/>
          <w:b/>
          <w:sz w:val="24"/>
          <w:szCs w:val="24"/>
        </w:rPr>
        <w:t>ІНО 3</w:t>
      </w:r>
      <w:r>
        <w:rPr>
          <w:rFonts w:ascii="Times New Roman" w:eastAsia="Times New Roman" w:hAnsi="Times New Roman" w:cs="Times New Roman"/>
          <w:sz w:val="24"/>
          <w:szCs w:val="24"/>
        </w:rPr>
        <w:t xml:space="preserve"> спрямована на розвиток умінь самостійно висловлювати думки, почуття, ставлення та надавати інформацію іноземною мовою як усно, так і письмово. Вона передбачає формування здатності описувати себе, інших людей, події, предмети та явища з особистого життя та навколишнього світу. Учні та учениці вчаться створювати зв’язні висловлювання — від простих повідомлень і коротких описів у початковій школі до аргументованих суджень, виступів і презентацій у базовій та профільній освіті. У старших класах результати цієї групи охоплюють також уміння письмово формулювати власну позицію, структурувати текст відповідно до мети та жанру, використовувати мовні засоби відповідно до ситуації спілкування та аудиторії.</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Група результатів навчання </w:t>
      </w:r>
      <w:r>
        <w:rPr>
          <w:rFonts w:ascii="Times New Roman" w:eastAsia="Times New Roman" w:hAnsi="Times New Roman" w:cs="Times New Roman"/>
          <w:b/>
          <w:sz w:val="24"/>
          <w:szCs w:val="24"/>
        </w:rPr>
        <w:t>ІНО 4</w:t>
      </w:r>
      <w:r>
        <w:rPr>
          <w:rFonts w:ascii="Times New Roman" w:eastAsia="Times New Roman" w:hAnsi="Times New Roman" w:cs="Times New Roman"/>
          <w:sz w:val="24"/>
          <w:szCs w:val="24"/>
        </w:rPr>
        <w:t xml:space="preserve"> представлена наразі в Державному стандарті профільної середньої освіти та спрямована на розвиток умінь медіації — тобто посередництва в міжмовному та міжкультурному спілкуванні. Вона передбачає формування здатності передавати інформацію в межах однієї мови або з однієї мови іншою (усно або письмово), пояснювати, адаптувати або спрощувати зміст повідомлень відповідно до ситуації та потреб комунікації. Ці результати орієнтовані на вищий рівень автономії учнівства, здатність підтримувати ефективну взаємодію в полікультурному середовищі, сприяти взаєморозумінню в групі та налагодженню співпраці, зокрема в навчальному, професійному та соціальному контекстах. Уміння, що формуються в межах цієї групи, відображають нові вимоги до мовної освіти в глобалізованому світі. Простежити цілісну модель випускника / випускниці кожного на кожному з освітніх циклів можна в парадигмі «</w:t>
      </w:r>
      <w:hyperlink r:id="rId7">
        <w:r>
          <w:rPr>
            <w:rFonts w:ascii="Times New Roman" w:eastAsia="Times New Roman" w:hAnsi="Times New Roman" w:cs="Times New Roman"/>
            <w:sz w:val="24"/>
            <w:szCs w:val="24"/>
          </w:rPr>
          <w:t>Я-</w:t>
        </w:r>
      </w:hyperlink>
      <w:r>
        <w:rPr>
          <w:rFonts w:ascii="Times New Roman" w:eastAsia="Times New Roman" w:hAnsi="Times New Roman" w:cs="Times New Roman"/>
          <w:sz w:val="24"/>
          <w:szCs w:val="24"/>
        </w:rPr>
        <w:t>орієнтири» (Додаток 2.1).</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державних стандартах зазначено орієнтири для оцінювання, спираючись на які педагог / педагогиня має змогу дібрати відповідні завдання до уроку, персоналізувати навчання відповідно до особливостей і потреб конкретного класу. Водночас для вчительства важливо системно бачити, яким має бути поступ учнівства в розрізі ключових компетентностей та наскрізних умінь (Додаток 2.2 та Додаток 2.3). </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вчителем / учителькою закономірностей поступу в іншомовній освіті є ключовим для ефективного формування компетентних мовців і читачів  / читачок. Іншомовна освіта є цілісною системою, де кожен наступний етап навчання спирається на попередній, поступово ускладнюючи вимоги до знань, умінь і ставлень учнів та учениць. Розуміння цієї динаміки розвитку, від формування елементарних комунікативних навичок у початковій школі до здатності до посередництва за допомогою іноземної мови в профільній, дає змогу вчительству свідомо проєктувати освітній процес, добирати адекватні методи та інструменти оцінювання, а головне — допомогти кожному учневі та кожній учениці розкрити свій мовний потенціал, стати не лише грамотним користувачем / користувачкою мови, а й особистістю з багатим внутрішнім світом, здатною до самовираження та міжкультурної комунікації. Саме тому постійне професійне зростання вчительства, його обізнаність із сучасними тенденціями в методиці викладання іноземної мови є запорукою якісної освіти та успішного майбутнього українського учнівства.</w:t>
      </w:r>
    </w:p>
    <w:p w:rsidR="00A83ADF" w:rsidRDefault="00A83ADF">
      <w:pPr>
        <w:spacing w:line="240" w:lineRule="auto"/>
        <w:ind w:right="7"/>
        <w:jc w:val="both"/>
        <w:rPr>
          <w:rFonts w:ascii="Times New Roman" w:eastAsia="Times New Roman" w:hAnsi="Times New Roman" w:cs="Times New Roman"/>
          <w:b/>
          <w:sz w:val="24"/>
          <w:szCs w:val="24"/>
        </w:rPr>
      </w:pPr>
    </w:p>
    <w:p w:rsidR="00A83AD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Поточний стан і виклики освітньої галузі</w:t>
      </w:r>
    </w:p>
    <w:p w:rsidR="00A83ADF"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Іншомовна освіта в Україні охоплює широку палітру підходів, методів та інструментів, що сприяють формуванню ключових компетентностей, розвитку багатомовності й міжкультурної взаємодії. Іншомовна освіта ґрунтується на принципах інклюзивності, автономії здобувачів / здобувачок  освіти, технологічної гнучкості й постійного професійного вдосконалення педагогічних працівників / працівниць. Водночас ефективне впровадження концептуальних засад іншомовної освіти потребує системного аналізу бар’єрів, які виникають у процесі реалізації освітніх реформ, та виявлення можливостей для їх подолання.</w:t>
      </w:r>
    </w:p>
    <w:p w:rsidR="00A83ADF"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цьому контексті доцільно розглянути основні виклики та потенційні можливості, що постають перед іншомовною освітою в Україні.</w:t>
      </w:r>
    </w:p>
    <w:p w:rsidR="00A83ADF" w:rsidRDefault="00000000">
      <w:pPr>
        <w:numPr>
          <w:ilvl w:val="0"/>
          <w:numId w:val="13"/>
        </w:numPr>
        <w:spacing w:line="240" w:lineRule="auto"/>
        <w:ind w:left="0"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Виклики, пов’язані з кадровим забезпеченням та вдосконаленням системи підвищення кваліфікації педагогічних працівників. </w:t>
      </w:r>
    </w:p>
    <w:p w:rsidR="00A83ADF" w:rsidRDefault="00000000">
      <w:pPr>
        <w:numPr>
          <w:ilvl w:val="0"/>
          <w:numId w:val="9"/>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Брак кадрів у сфері загальної середньої освіти, зокрема вчителів / учительок іноземної мови, зумовлений старінням педагогічних кадрів, вигоранням і відтоком фахівців / фахівчинь за кордон через війну</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Одним із </w:t>
      </w:r>
      <w:r>
        <w:rPr>
          <w:rFonts w:ascii="Times New Roman" w:eastAsia="Times New Roman" w:hAnsi="Times New Roman" w:cs="Times New Roman"/>
          <w:b/>
          <w:sz w:val="24"/>
          <w:szCs w:val="24"/>
        </w:rPr>
        <w:t>основних рішень</w:t>
      </w:r>
      <w:r>
        <w:rPr>
          <w:rFonts w:ascii="Times New Roman" w:eastAsia="Times New Roman" w:hAnsi="Times New Roman" w:cs="Times New Roman"/>
          <w:sz w:val="24"/>
          <w:szCs w:val="24"/>
        </w:rPr>
        <w:t xml:space="preserve"> для подолання кадрового дефіциту може бути створення умов для залучення та підтримки молодих і кваліфікованих учителів і вчительок у сфері викладання іноземних мов. Це передбачає розроблення гнучких програм професійного розвитку, менторської підтримки та кар’єрного зростання, стимулювання </w:t>
      </w:r>
      <w:r>
        <w:rPr>
          <w:rFonts w:ascii="Times New Roman" w:eastAsia="Times New Roman" w:hAnsi="Times New Roman" w:cs="Times New Roman"/>
          <w:sz w:val="24"/>
          <w:szCs w:val="24"/>
        </w:rPr>
        <w:lastRenderedPageBreak/>
        <w:t xml:space="preserve">повернення в освітню систему тих, хто тимчасово припинив викладацьку діяльність, а також розширення можливостей для дистанційної та змішаної форми викладання. </w:t>
      </w:r>
    </w:p>
    <w:p w:rsidR="00A83ADF" w:rsidRDefault="00000000">
      <w:pPr>
        <w:numPr>
          <w:ilvl w:val="0"/>
          <w:numId w:val="1"/>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Недостатній рівень цифрової грамотності вчителів / учительок  іноземної мови, що ускладнює впровадження інноваційних освітніх технологій, включно з інструментами штучного інтелекту, а також ефективне використання віддалених синхронних та асинхронних режимів навчання, зокрема управління взаємодією в цифровому середовищі та індивідуалізацію освітнього процесу. Для </w:t>
      </w:r>
      <w:r>
        <w:rPr>
          <w:rFonts w:ascii="Times New Roman" w:eastAsia="Times New Roman" w:hAnsi="Times New Roman" w:cs="Times New Roman"/>
          <w:b/>
          <w:sz w:val="24"/>
          <w:szCs w:val="24"/>
        </w:rPr>
        <w:t>подолання цього виклику</w:t>
      </w:r>
      <w:r>
        <w:rPr>
          <w:rFonts w:ascii="Times New Roman" w:eastAsia="Times New Roman" w:hAnsi="Times New Roman" w:cs="Times New Roman"/>
          <w:sz w:val="24"/>
          <w:szCs w:val="24"/>
        </w:rPr>
        <w:t xml:space="preserve"> необхідно забезпечити системну та практикоорієнтовану цифрову підготовку вчителів / учительок іноземних мов, зокрема через короткотривалі курси, онлайн-навчання, професійні спільноти та наставництво. Програми мають охоплювати використання інструментів штучного інтелекту, моделювання цифрової взаємодії, індивідуалізацію навчання та забезпечення академічної доброчесності в онлайновому середовищі. Важливо впроваджувати цифрові практики поступово, з орієнтацією на реальні потреби вчительства і можливості їх застосування в освітньому процесі.</w:t>
      </w:r>
    </w:p>
    <w:p w:rsidR="00A83ADF"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Недостатня інтеграція тем сталого розвитку в освітні програми підготовки й підвищення кваліфікації педагогів / педагогинь, що ускладнює їхню готовність упроваджувати інноваційні підходи у викладанні. Для </w:t>
      </w:r>
      <w:r>
        <w:rPr>
          <w:rFonts w:ascii="Times New Roman" w:eastAsia="Times New Roman" w:hAnsi="Times New Roman" w:cs="Times New Roman"/>
          <w:b/>
          <w:sz w:val="24"/>
          <w:szCs w:val="24"/>
        </w:rPr>
        <w:t>розвʼязання цього виклику</w:t>
      </w:r>
      <w:r>
        <w:rPr>
          <w:rFonts w:ascii="Times New Roman" w:eastAsia="Times New Roman" w:hAnsi="Times New Roman" w:cs="Times New Roman"/>
          <w:sz w:val="24"/>
          <w:szCs w:val="24"/>
        </w:rPr>
        <w:t xml:space="preserve"> необхідно інтегрувати теми сталого розвитку в усі рівні педагогічної освіти — від базової підготовки до програм підвищення кваліфікації. Це передбачає оновлення змісту навчальних програм з акцентом на міждисциплінарний підхід, критичне мислення, громадянську відповідальність, екологічну свідомість і соціальну справедливість. Також варто розробити практичні модулі та кейси, які демонструють, як теми сталого розвитку можуть бути реалізовані на уроках іноземної мови, зокрема через автентичні тексти, проєктну діяльність та міжпредметні зв’язки.</w:t>
      </w:r>
    </w:p>
    <w:p w:rsidR="00A83ADF"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Участь українських педагогічних закладів вищої освіти у міжнародних ініціативах і програмах академічної мобільності, як-от Erasmus+, є важливим чинником для інтернаціоналізації підготовки вчительства та впровадження сучасних підходів до формування багатомовності, цифрових та інших компетентностей. Для </w:t>
      </w:r>
      <w:r>
        <w:rPr>
          <w:rFonts w:ascii="Times New Roman" w:eastAsia="Times New Roman" w:hAnsi="Times New Roman" w:cs="Times New Roman"/>
          <w:b/>
          <w:sz w:val="24"/>
          <w:szCs w:val="24"/>
        </w:rPr>
        <w:t xml:space="preserve">подолання цього виклику </w:t>
      </w:r>
      <w:r>
        <w:rPr>
          <w:rFonts w:ascii="Times New Roman" w:eastAsia="Times New Roman" w:hAnsi="Times New Roman" w:cs="Times New Roman"/>
          <w:sz w:val="24"/>
          <w:szCs w:val="24"/>
        </w:rPr>
        <w:t>важливо підвищити участь педагогічних закладів вищої освіти  у міжнародних програмах академічної мобільності шляхом створення інституційної підтримки для подання заявок, розвитку партнерств і покращення володіння іноземними мовами серед викладачів та викладачок. Варто також заохочувати викладачів і викладачок до участі в міжнародних проєктах і забезпечувати визнання результатів такої участі як частини підвищення кваліфікації. Це сприятиме впровадженню сучасних освітніх підходів, розширенню професійного світогляду і формуванню в майбутніх учителів і вчительок глобальних компетентностей.</w:t>
      </w:r>
    </w:p>
    <w:p w:rsidR="00A83ADF" w:rsidRDefault="00000000">
      <w:pPr>
        <w:numPr>
          <w:ilvl w:val="0"/>
          <w:numId w:val="1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Поширеність серед педагогів / педагогинь, зокрема вчителів / учительок іноземних мов, хибного уявлення про відсутність реального вибору програм підвищення кваліфікації від різних суб’єктів освітніх послуг, що стримує професійний розвиток учительства й послаблює довіру до реформи. </w:t>
      </w:r>
      <w:r>
        <w:rPr>
          <w:rFonts w:ascii="Times New Roman" w:eastAsia="Times New Roman" w:hAnsi="Times New Roman" w:cs="Times New Roman"/>
          <w:b/>
          <w:sz w:val="24"/>
          <w:szCs w:val="24"/>
        </w:rPr>
        <w:t>Подолати цей виклик</w:t>
      </w:r>
      <w:r>
        <w:rPr>
          <w:rFonts w:ascii="Times New Roman" w:eastAsia="Times New Roman" w:hAnsi="Times New Roman" w:cs="Times New Roman"/>
          <w:sz w:val="24"/>
          <w:szCs w:val="24"/>
        </w:rPr>
        <w:t xml:space="preserve"> можливо через системне інформування про існуючі можливості, зокрема про якісні освітні програми, які пропонують визнані міжнародні організації — Британська Рада, Goethe-Institut, Французький інститут в Україні та мережа Альянс франсез,  Американські ради, Європейський центр імені Вергеланда тощо. Освітні ініціативи цих організацій відповідають сучасним вимогам іншомовної освіти, поєднують методичну глибину та інноваційні підходи, орієнтовані на підвищення професійної майстерності. Водночас важливо наголосити, що у випадку, коли участь є платною, фінансуватися має здійснюватися за кошти, передбачені на підвищення кваліфікації в межах освітньої субвенції або місцевих бюджетів чи в інший регламентований спосіб. Це відкриває доступ до якісного навчання без додаткового фінансового навантаження на вчителя / учительку та сприятиме підвищенню обізнаності, активізації професійного розвитку вчительства і посиленню довіри до освітніх реформ.</w:t>
      </w:r>
    </w:p>
    <w:p w:rsidR="00A83ADF" w:rsidRDefault="00000000">
      <w:pPr>
        <w:numPr>
          <w:ilvl w:val="0"/>
          <w:numId w:val="13"/>
        </w:numPr>
        <w:spacing w:line="240" w:lineRule="auto"/>
        <w:ind w:left="0"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Виклики, пов’язані з навчально-методичним забезпеченням та реалізацією компетентнісного підходу.</w:t>
      </w:r>
    </w:p>
    <w:p w:rsidR="00A83ADF"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Недостатнє розуміння нових підходів, брак методичної підтримки й фіксація на усталених традиційних моделях навчання призводить до зменшення ефективності впровадження сучасних методик НУШ і компетентнісного навчання та оцінювання. Це знижує темпи впровадження освітньої реформи та ускладнює трансформацію практик навчання. </w:t>
      </w:r>
      <w:r>
        <w:rPr>
          <w:rFonts w:ascii="Times New Roman" w:eastAsia="Times New Roman" w:hAnsi="Times New Roman" w:cs="Times New Roman"/>
          <w:b/>
          <w:sz w:val="24"/>
          <w:szCs w:val="24"/>
        </w:rPr>
        <w:t>Щоб подолати спротив</w:t>
      </w:r>
      <w:r>
        <w:rPr>
          <w:rFonts w:ascii="Times New Roman" w:eastAsia="Times New Roman" w:hAnsi="Times New Roman" w:cs="Times New Roman"/>
          <w:sz w:val="24"/>
          <w:szCs w:val="24"/>
        </w:rPr>
        <w:t xml:space="preserve"> до впровадження сучасних підходів Нової української школи, необхідно зосередитися на підвищенні обізнаності всіх учасників та учасниць освітнього процесу. Важливо демонструвати успішні приклади впровадження компетентнісного навчання й оцінювання, а також забезпечити безперервну методичну підтримку педагогів / педагогинь через професійні спільноти, наставництво та міжшкільну взаємодію. Активне залучення батьків / опікунів до обговорення змін, просвітницькі ініціативи та відкритий діалог сприятимуть формуванню довіри, зменшенню опору та ефективному впровадженню нових практик.</w:t>
      </w:r>
    </w:p>
    <w:p w:rsidR="00A83ADF" w:rsidRDefault="00000000">
      <w:pPr>
        <w:numPr>
          <w:ilvl w:val="0"/>
          <w:numId w:val="8"/>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Низький пріоритет навчання другої іноземної мови в закладах освіти, зумовлений усталеною традицією другорядності предмета, негативно впливає на розвиток багатомовності</w:t>
      </w:r>
      <w:r>
        <w:rPr>
          <w:rFonts w:ascii="Times New Roman" w:eastAsia="Times New Roman" w:hAnsi="Times New Roman" w:cs="Times New Roman"/>
          <w:color w:val="444746"/>
          <w:sz w:val="24"/>
          <w:szCs w:val="24"/>
          <w:highlight w:val="white"/>
        </w:rPr>
        <w:t xml:space="preserve"> </w:t>
      </w:r>
      <w:r>
        <w:rPr>
          <w:rFonts w:ascii="Times New Roman" w:eastAsia="Times New Roman" w:hAnsi="Times New Roman" w:cs="Times New Roman"/>
          <w:sz w:val="24"/>
          <w:szCs w:val="24"/>
        </w:rPr>
        <w:t xml:space="preserve">та конкурентоспроможності учнівства. </w:t>
      </w:r>
      <w:r>
        <w:rPr>
          <w:rFonts w:ascii="Times New Roman" w:eastAsia="Times New Roman" w:hAnsi="Times New Roman" w:cs="Times New Roman"/>
          <w:b/>
          <w:sz w:val="24"/>
          <w:szCs w:val="24"/>
        </w:rPr>
        <w:t>Для підвищення пріоритетності навчання другої іноземної мови в школах</w:t>
      </w:r>
      <w:r>
        <w:rPr>
          <w:rFonts w:ascii="Times New Roman" w:eastAsia="Times New Roman" w:hAnsi="Times New Roman" w:cs="Times New Roman"/>
          <w:sz w:val="24"/>
          <w:szCs w:val="24"/>
        </w:rPr>
        <w:t xml:space="preserve"> варто посилити інформаційно-методичну підтримку керівників / керівниць та вчителів / учительок закладів освіти щодо ролі багатомовності в розвитку ключових компетентностей і конкурентоспроможності учнів / учениць. Варто поширювати приклади успішних моделей організації навчання другої іноземної мови, а також надати гнучкі інструменти для кадрового та навчально-методичного забезпечення предмета. Залучення учнівства, батьківства і громад до обговорення мовного компонента освітньої програми закладу освіти також сприятиме усвідомленню його цінності.</w:t>
      </w:r>
    </w:p>
    <w:p w:rsidR="00A83ADF" w:rsidRDefault="00000000">
      <w:pPr>
        <w:numPr>
          <w:ilvl w:val="0"/>
          <w:numId w:val="7"/>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Недостатній рівень міжгалузевої інтеграції змісту іншомовної освіти з іншими освітніми галузями (наприклад, STEAM / STREAM), що зумовлений відсутністю системних підходів, чітких методичних рекомендацій і прикладів реалізації підходу CLIL. </w:t>
      </w:r>
      <w:r>
        <w:rPr>
          <w:rFonts w:ascii="Times New Roman" w:eastAsia="Times New Roman" w:hAnsi="Times New Roman" w:cs="Times New Roman"/>
          <w:b/>
          <w:sz w:val="24"/>
          <w:szCs w:val="24"/>
        </w:rPr>
        <w:t>Для посилення міжгалузевої інтеграції</w:t>
      </w:r>
      <w:r>
        <w:rPr>
          <w:rFonts w:ascii="Times New Roman" w:eastAsia="Times New Roman" w:hAnsi="Times New Roman" w:cs="Times New Roman"/>
          <w:sz w:val="24"/>
          <w:szCs w:val="24"/>
        </w:rPr>
        <w:t xml:space="preserve"> в іншомовній освіті доцільно розробити й поширити методичні рекомендації щодо впровадження підходу CLIL (Content and Language Integrated Learning) із прикладами завдань, тем і моделей уроків, що поєднують вивчення мови з елементами змісту інших галузей, зокрема STEAM / STREAM. Необхідно включити теми міжгалузевої інтеграції в програми підвищення кваліфікації вчителів / учительок іноземних мов, а також заохочувати міжпредметну співпрацю педагогів / педагогинь через спільне планування та реалізацію інтегрованих проєктів. Сприяння таким підходам на рівні шкільного керівництва та освітніх політик дасть змогу розвивати іншомовну комунікативну компетентність учнівства в більш прикладному контексті.</w:t>
      </w:r>
    </w:p>
    <w:p w:rsidR="00A83ADF" w:rsidRDefault="00000000">
      <w:pPr>
        <w:numPr>
          <w:ilvl w:val="0"/>
          <w:numId w:val="13"/>
        </w:numPr>
        <w:spacing w:line="240" w:lineRule="auto"/>
        <w:ind w:left="0"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Виклики, що пов’язані з матеріально-технічним забезпеченням. </w:t>
      </w:r>
    </w:p>
    <w:p w:rsidR="00A83ADF"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Нерівномірне забезпечення шкіл технічними засобами та доступом до цифрових ресурсів, особливо в сільській місцевості, а також відсутність єдиної освітньої платформи, яка б містила навчальні матеріали, модулі для оцінювання результатів навчання учнівства і методичні матеріали для підтримки й професійного розвитку вчительства,  створює бар’єр для рівного доступу учнівства до якісної освіти, а для вчителів / учительок ускладнює процес підготовки до уроків. </w:t>
      </w:r>
      <w:r>
        <w:rPr>
          <w:rFonts w:ascii="Times New Roman" w:eastAsia="Times New Roman" w:hAnsi="Times New Roman" w:cs="Times New Roman"/>
          <w:b/>
          <w:sz w:val="24"/>
          <w:szCs w:val="24"/>
        </w:rPr>
        <w:t xml:space="preserve">Можливим рішенням для цього виклику може стати </w:t>
      </w:r>
      <w:r>
        <w:rPr>
          <w:rFonts w:ascii="Times New Roman" w:eastAsia="Times New Roman" w:hAnsi="Times New Roman" w:cs="Times New Roman"/>
          <w:sz w:val="24"/>
          <w:szCs w:val="24"/>
        </w:rPr>
        <w:t>створення освітньої платформи з навчальними матеріалами, модулями для оцінювання результатів навчання учнівства і методичної підтримки вчительства. Засадничим технічним рішенням стане можливість інтеграції платформи з наявними шкільними системами, що сприятиме гнучкому впровадженню та масштабуванню інновацій у сфері освіти.</w:t>
      </w:r>
    </w:p>
    <w:p w:rsidR="00A83ADF" w:rsidRDefault="00000000">
      <w:pPr>
        <w:numPr>
          <w:ilvl w:val="0"/>
          <w:numId w:val="13"/>
        </w:numPr>
        <w:spacing w:line="240" w:lineRule="auto"/>
        <w:ind w:left="0"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що пов'язані з організацією освітнього процесу та фінансовим забезпеченням закладів загальної середньої освіти.</w:t>
      </w:r>
    </w:p>
    <w:p w:rsidR="00A83ADF" w:rsidRDefault="00000000">
      <w:pPr>
        <w:numPr>
          <w:ilvl w:val="0"/>
          <w:numId w:val="10"/>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Недостатній рівень готовності педагогічних працівників / працівниць, зокрема вчителів / учительок іноземних мов, до реалізації академічної свободи на практиці через очікування шаблонних рішень, низьку впевненість у власних педагогічних рішеннях і відсутність системної підтримки в гнучкому плануванні освітнього процесу відповідно до потреб учнівства і контексту школи</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Для </w:t>
      </w:r>
      <w:r>
        <w:rPr>
          <w:rFonts w:ascii="Times New Roman" w:eastAsia="Times New Roman" w:hAnsi="Times New Roman" w:cs="Times New Roman"/>
          <w:b/>
          <w:sz w:val="24"/>
          <w:szCs w:val="24"/>
        </w:rPr>
        <w:t>подолання цього виклику</w:t>
      </w:r>
      <w:r>
        <w:rPr>
          <w:rFonts w:ascii="Times New Roman" w:eastAsia="Times New Roman" w:hAnsi="Times New Roman" w:cs="Times New Roman"/>
          <w:sz w:val="24"/>
          <w:szCs w:val="24"/>
        </w:rPr>
        <w:t xml:space="preserve"> необхідно створити умови для формування в педагогів / педагогинь готовності та впевненості реалізовувати академічну свободу як інструмент педагогічної майстерності. Це передбачає цілеспрямовану підтримку завдяки розбудові мережі професійних спільнот, реалізації якісного наставництва, супервізії та навчання на методичних кейсах, що демонструють різні варіанти гнучкого планування освітнього процесу. Окрему роль у цьому може відігравати залучення учителів / учительок до добровільних процедур оцінювання професійної компетентності, зокрема у формі сертифікації, що не лише сприяє визнанню професійного зростання, а й підсилює мотивацію до саморозвитку. Інтеграція теми академічної свободи в підвищення кваліфікації педагогів / педагогинь допоможе розвивати здатність діяти автономно, відповідально й ураховувати потреби учнівства та контекст навчання.</w:t>
      </w:r>
    </w:p>
    <w:p w:rsidR="00A83ADF" w:rsidRDefault="00000000">
      <w:pPr>
        <w:numPr>
          <w:ilvl w:val="0"/>
          <w:numId w:val="11"/>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Ускладнена реалізація індивідуального підходу внаслідок великої наповнюваності класів, обмежених умов для поділу на групи та делегування відповідних рішень на місцевий рівень, що перешкоджає ефективній реалізації вимог освітнього законодавства. </w:t>
      </w:r>
      <w:r>
        <w:rPr>
          <w:rFonts w:ascii="Times New Roman" w:eastAsia="Times New Roman" w:hAnsi="Times New Roman" w:cs="Times New Roman"/>
          <w:b/>
          <w:sz w:val="24"/>
          <w:szCs w:val="24"/>
        </w:rPr>
        <w:t>Щоб забезпечити реалізацію індивідуального підходу</w:t>
      </w:r>
      <w:r>
        <w:rPr>
          <w:rFonts w:ascii="Times New Roman" w:eastAsia="Times New Roman" w:hAnsi="Times New Roman" w:cs="Times New Roman"/>
          <w:sz w:val="24"/>
          <w:szCs w:val="24"/>
        </w:rPr>
        <w:t xml:space="preserve"> в умовах великої наповнюваності класів і обмежених ресурсів, необхідно розширити інструменти гнучкої організації навчання. Це передбачає використання ротаційних моделей, упровадження проєктного навчання та цифрових рішень з елементами персоналізації. Важливим кроком є розширення автономії закладів освіти в прийнятті рішень щодо поділу на групи та відповідне фінансове забезпечення. У програми підвищення кваліфікації для вчительства слід інтегрувати теми з адаптивного планування, диференціації завдань і формувального оцінювання, що сприятиме розвитку професійної гнучкості вчителя / вчительки.</w:t>
      </w:r>
    </w:p>
    <w:p w:rsidR="00A83ADF"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Нерівномірне забезпечення шкіл, зокрема в сільській місцевості, обмежує їхні можливості щодо сучасного освітнього середовища для вивчення іноземних мов, зокрема й із доступом до якісних матеріалів, технічного обладнання та міжнародних освітніх програм. </w:t>
      </w:r>
      <w:r>
        <w:rPr>
          <w:rFonts w:ascii="Times New Roman" w:eastAsia="Times New Roman" w:hAnsi="Times New Roman" w:cs="Times New Roman"/>
          <w:b/>
          <w:sz w:val="24"/>
          <w:szCs w:val="24"/>
        </w:rPr>
        <w:t>Для подолання наслідків нерівномірного забезпечення шкіл,</w:t>
      </w:r>
      <w:r>
        <w:rPr>
          <w:rFonts w:ascii="Times New Roman" w:eastAsia="Times New Roman" w:hAnsi="Times New Roman" w:cs="Times New Roman"/>
          <w:sz w:val="24"/>
          <w:szCs w:val="24"/>
        </w:rPr>
        <w:t xml:space="preserve"> особливо в сільській місцевості, доцільно запровадити цільові програми підтримки іншомовної освіти, які передбачають забезпечення закладів освіти сучасним технічним обладнанням, доступом до цифрових ресурсів, онлайн-платформ і автентичних матеріалів. Варто також розширити участь таких шкіл у міжнародних програмах і грантових ініціативах, спрямованих на розвиток багатомовної освіти. Забезпечення рівного доступу до ресурсів сприятиме зменшенню освітньої нерівності та підвищенню якості вивчення іноземних мов у всіх типах громад.</w:t>
      </w:r>
    </w:p>
    <w:sectPr w:rsidR="00A83ADF" w:rsidSect="00E03A55">
      <w:headerReference w:type="even" r:id="rId8"/>
      <w:headerReference w:type="default" r:id="rId9"/>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6010" w:rsidRDefault="00606010">
      <w:pPr>
        <w:spacing w:line="240" w:lineRule="auto"/>
      </w:pPr>
      <w:r>
        <w:separator/>
      </w:r>
    </w:p>
  </w:endnote>
  <w:endnote w:type="continuationSeparator" w:id="0">
    <w:p w:rsidR="00606010" w:rsidRDefault="00606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6010" w:rsidRDefault="00606010">
      <w:pPr>
        <w:spacing w:line="240" w:lineRule="auto"/>
      </w:pPr>
      <w:r>
        <w:separator/>
      </w:r>
    </w:p>
  </w:footnote>
  <w:footnote w:type="continuationSeparator" w:id="0">
    <w:p w:rsidR="00606010" w:rsidRDefault="00606010">
      <w:pPr>
        <w:spacing w:line="240" w:lineRule="auto"/>
      </w:pPr>
      <w:r>
        <w:continuationSeparator/>
      </w:r>
    </w:p>
  </w:footnote>
  <w:footnote w:id="1">
    <w:p w:rsidR="00A83AD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Common European Framework of Reference for Languages: Learning, teaching, assessment — Companion volume, Council of Europe, April 2020.</w:t>
      </w:r>
    </w:p>
  </w:footnote>
  <w:footnote w:id="2">
    <w:p w:rsidR="00A83AD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З’являється в Державному стандарті профільної середньої освіти.</w:t>
      </w:r>
    </w:p>
  </w:footnote>
  <w:footnote w:id="3">
    <w:p w:rsidR="00A83ADF"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Освітня галузь відчуває найбільший дефіцит кадрів. (2025, 22 лютого). Нова українська школа (НУШ).</w:t>
      </w:r>
    </w:p>
  </w:footnote>
  <w:footnote w:id="4">
    <w:p w:rsidR="00A83ADF"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Узагальнення за результатами опитування “Опитування освітян про політику Освіта для життя” 2025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177344423"/>
      <w:docPartObj>
        <w:docPartGallery w:val="Page Numbers (Top of Page)"/>
        <w:docPartUnique/>
      </w:docPartObj>
    </w:sdtPr>
    <w:sdtContent>
      <w:p w:rsidR="00E03A55" w:rsidRDefault="00E03A55" w:rsidP="009A12B1">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rPr>
          <w:fldChar w:fldCharType="end"/>
        </w:r>
      </w:p>
    </w:sdtContent>
  </w:sdt>
  <w:p w:rsidR="00E03A55" w:rsidRDefault="00E03A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Fonts w:ascii="Times New Roman" w:hAnsi="Times New Roman" w:cs="Times New Roman"/>
        <w:sz w:val="20"/>
        <w:szCs w:val="20"/>
      </w:rPr>
      <w:id w:val="1926143818"/>
      <w:docPartObj>
        <w:docPartGallery w:val="Page Numbers (Top of Page)"/>
        <w:docPartUnique/>
      </w:docPartObj>
    </w:sdtPr>
    <w:sdtContent>
      <w:p w:rsidR="00E03A55" w:rsidRPr="00E03A55" w:rsidRDefault="00E03A55" w:rsidP="009A12B1">
        <w:pPr>
          <w:pStyle w:val="a8"/>
          <w:framePr w:wrap="none" w:vAnchor="text" w:hAnchor="margin" w:xAlign="center" w:y="1"/>
          <w:rPr>
            <w:rStyle w:val="aa"/>
            <w:rFonts w:ascii="Times New Roman" w:hAnsi="Times New Roman" w:cs="Times New Roman"/>
            <w:sz w:val="20"/>
            <w:szCs w:val="20"/>
          </w:rPr>
        </w:pPr>
        <w:r w:rsidRPr="00E03A55">
          <w:rPr>
            <w:rStyle w:val="aa"/>
            <w:rFonts w:ascii="Times New Roman" w:hAnsi="Times New Roman" w:cs="Times New Roman"/>
            <w:sz w:val="20"/>
            <w:szCs w:val="20"/>
          </w:rPr>
          <w:fldChar w:fldCharType="begin"/>
        </w:r>
        <w:r w:rsidRPr="00E03A55">
          <w:rPr>
            <w:rStyle w:val="aa"/>
            <w:rFonts w:ascii="Times New Roman" w:hAnsi="Times New Roman" w:cs="Times New Roman"/>
            <w:sz w:val="20"/>
            <w:szCs w:val="20"/>
          </w:rPr>
          <w:instrText xml:space="preserve"> PAGE </w:instrText>
        </w:r>
        <w:r w:rsidRPr="00E03A55">
          <w:rPr>
            <w:rStyle w:val="aa"/>
            <w:rFonts w:ascii="Times New Roman" w:hAnsi="Times New Roman" w:cs="Times New Roman"/>
            <w:sz w:val="20"/>
            <w:szCs w:val="20"/>
          </w:rPr>
          <w:fldChar w:fldCharType="separate"/>
        </w:r>
        <w:r w:rsidRPr="00E03A55">
          <w:rPr>
            <w:rStyle w:val="aa"/>
            <w:rFonts w:ascii="Times New Roman" w:hAnsi="Times New Roman" w:cs="Times New Roman"/>
            <w:noProof/>
            <w:sz w:val="20"/>
            <w:szCs w:val="20"/>
          </w:rPr>
          <w:t>2</w:t>
        </w:r>
        <w:r w:rsidRPr="00E03A55">
          <w:rPr>
            <w:rStyle w:val="aa"/>
            <w:rFonts w:ascii="Times New Roman" w:hAnsi="Times New Roman" w:cs="Times New Roman"/>
            <w:sz w:val="20"/>
            <w:szCs w:val="20"/>
          </w:rPr>
          <w:fldChar w:fldCharType="end"/>
        </w:r>
      </w:p>
    </w:sdtContent>
  </w:sdt>
  <w:p w:rsidR="00E03A55" w:rsidRDefault="00E03A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A27"/>
    <w:multiLevelType w:val="multilevel"/>
    <w:tmpl w:val="9AAAE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112FA"/>
    <w:multiLevelType w:val="multilevel"/>
    <w:tmpl w:val="710C4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B6F19"/>
    <w:multiLevelType w:val="multilevel"/>
    <w:tmpl w:val="BF1C1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B34BB"/>
    <w:multiLevelType w:val="multilevel"/>
    <w:tmpl w:val="5DA64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755461"/>
    <w:multiLevelType w:val="multilevel"/>
    <w:tmpl w:val="9880E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D5889"/>
    <w:multiLevelType w:val="multilevel"/>
    <w:tmpl w:val="8E105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1647E1"/>
    <w:multiLevelType w:val="multilevel"/>
    <w:tmpl w:val="6888A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0F510E"/>
    <w:multiLevelType w:val="multilevel"/>
    <w:tmpl w:val="A574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693379"/>
    <w:multiLevelType w:val="multilevel"/>
    <w:tmpl w:val="BEFEA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E3F92"/>
    <w:multiLevelType w:val="multilevel"/>
    <w:tmpl w:val="02665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386496"/>
    <w:multiLevelType w:val="multilevel"/>
    <w:tmpl w:val="15501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F870FD"/>
    <w:multiLevelType w:val="multilevel"/>
    <w:tmpl w:val="DAC8A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0B66D6"/>
    <w:multiLevelType w:val="multilevel"/>
    <w:tmpl w:val="E5B60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122756">
    <w:abstractNumId w:val="5"/>
  </w:num>
  <w:num w:numId="2" w16cid:durableId="522860533">
    <w:abstractNumId w:val="8"/>
  </w:num>
  <w:num w:numId="3" w16cid:durableId="2102679541">
    <w:abstractNumId w:val="10"/>
  </w:num>
  <w:num w:numId="4" w16cid:durableId="752045726">
    <w:abstractNumId w:val="11"/>
  </w:num>
  <w:num w:numId="5" w16cid:durableId="1740518339">
    <w:abstractNumId w:val="12"/>
  </w:num>
  <w:num w:numId="6" w16cid:durableId="496850815">
    <w:abstractNumId w:val="4"/>
  </w:num>
  <w:num w:numId="7" w16cid:durableId="1587424126">
    <w:abstractNumId w:val="9"/>
  </w:num>
  <w:num w:numId="8" w16cid:durableId="1629555311">
    <w:abstractNumId w:val="1"/>
  </w:num>
  <w:num w:numId="9" w16cid:durableId="1103844820">
    <w:abstractNumId w:val="2"/>
  </w:num>
  <w:num w:numId="10" w16cid:durableId="803044681">
    <w:abstractNumId w:val="3"/>
  </w:num>
  <w:num w:numId="11" w16cid:durableId="582763245">
    <w:abstractNumId w:val="0"/>
  </w:num>
  <w:num w:numId="12" w16cid:durableId="1760909307">
    <w:abstractNumId w:val="6"/>
  </w:num>
  <w:num w:numId="13" w16cid:durableId="85256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DF"/>
    <w:rsid w:val="00606010"/>
    <w:rsid w:val="00A83ADF"/>
    <w:rsid w:val="00B613EC"/>
    <w:rsid w:val="00E03A5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E03A55"/>
    <w:pPr>
      <w:tabs>
        <w:tab w:val="center" w:pos="4513"/>
        <w:tab w:val="right" w:pos="9026"/>
      </w:tabs>
      <w:spacing w:line="240" w:lineRule="auto"/>
    </w:pPr>
  </w:style>
  <w:style w:type="character" w:customStyle="1" w:styleId="a9">
    <w:name w:val="Верхний колонтитул Знак"/>
    <w:basedOn w:val="a0"/>
    <w:link w:val="a8"/>
    <w:uiPriority w:val="99"/>
    <w:rsid w:val="00E03A55"/>
  </w:style>
  <w:style w:type="character" w:styleId="aa">
    <w:name w:val="page number"/>
    <w:basedOn w:val="a0"/>
    <w:uiPriority w:val="99"/>
    <w:semiHidden/>
    <w:unhideWhenUsed/>
    <w:rsid w:val="00E03A55"/>
  </w:style>
  <w:style w:type="paragraph" w:styleId="ab">
    <w:name w:val="footer"/>
    <w:basedOn w:val="a"/>
    <w:link w:val="ac"/>
    <w:uiPriority w:val="99"/>
    <w:unhideWhenUsed/>
    <w:rsid w:val="00E03A55"/>
    <w:pPr>
      <w:tabs>
        <w:tab w:val="center" w:pos="4513"/>
        <w:tab w:val="right" w:pos="9026"/>
      </w:tabs>
      <w:spacing w:line="240" w:lineRule="auto"/>
    </w:pPr>
  </w:style>
  <w:style w:type="character" w:customStyle="1" w:styleId="ac">
    <w:name w:val="Нижний колонтитул Знак"/>
    <w:basedOn w:val="a0"/>
    <w:link w:val="ab"/>
    <w:uiPriority w:val="99"/>
    <w:rsid w:val="00E0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RMlEgrhhCouQhvtlmn9AwgmX9sGLX1gF/edit?usp=sharing&amp;ouid=110258861844170845864&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5583</Words>
  <Characters>31826</Characters>
  <Application>Microsoft Office Word</Application>
  <DocSecurity>0</DocSecurity>
  <Lines>265</Lines>
  <Paragraphs>74</Paragraphs>
  <ScaleCrop>false</ScaleCrop>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2025-07-25T11:35:00Z</dcterms:created>
  <dcterms:modified xsi:type="dcterms:W3CDTF">2025-07-25T11:35:00Z</dcterms:modified>
</cp:coreProperties>
</file>